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1440"/>
      </w:pPr>
      <w:r>
        <w:t xml:space="preserve"/>
      </w:r>
    </w:p>
    <w:p>
      <w:pPr>
        <w:spacing w:after="120" w:before="0"/>
        <w:jc w:val="center"/>
      </w:pPr>
      <w:r>
        <w:rPr>
          <w:rFonts w:ascii="Arial" w:cs="Arial" w:eastAsia="Arial" w:hAnsi="Arial"/>
          <w:b/>
          <w:bCs/>
          <w:color w:val="1B3A6B"/>
          <w:sz w:val="44"/>
          <w:szCs w:val="44"/>
        </w:rPr>
        <w:t xml:space="preserve">VOLUNTARY PRODUCT ACCESSIBILITY TEMPLATE</w:t>
      </w:r>
    </w:p>
    <w:p>
      <w:pPr>
        <w:spacing w:after="240" w:before="0"/>
        <w:jc w:val="center"/>
      </w:pPr>
      <w:r>
        <w:rPr>
          <w:rFonts w:ascii="Arial" w:cs="Arial" w:eastAsia="Arial" w:hAnsi="Arial"/>
          <w:color w:val="2E75B6"/>
          <w:sz w:val="28"/>
          <w:szCs w:val="28"/>
        </w:rPr>
        <w:t xml:space="preserve">(VPAT®) Version 2.4</w:t>
      </w:r>
    </w:p>
    <w:p>
      <w:pPr>
        <w:pBdr>
          <w:bottom w:val="single" w:color="2E75B6" w:sz="8" w:space="4"/>
        </w:pBdr>
        <w:spacing w:after="360" w:before="0"/>
        <w:jc w:val="center"/>
      </w:pPr>
      <w:r>
        <w:rPr>
          <w:sz w:val="20"/>
          <w:szCs w:val="20"/>
        </w:rPr>
        <w:t xml:space="preserve"> </w:t>
      </w:r>
    </w:p>
    <w:p>
      <w:pPr>
        <w:spacing w:after="0" w:before="240"/>
      </w:pPr>
      <w:r>
        <w:t xml:space="preserve"/>
      </w:r>
    </w:p>
    <w:p>
      <w:pPr>
        <w:spacing w:after="80" w:before="0"/>
        <w:jc w:val="center"/>
      </w:pPr>
      <w:r>
        <w:rPr>
          <w:rFonts w:ascii="Arial" w:cs="Arial" w:eastAsia="Arial" w:hAnsi="Arial"/>
          <w:b/>
          <w:bCs/>
          <w:color w:val="444444"/>
          <w:sz w:val="22"/>
          <w:szCs w:val="22"/>
        </w:rPr>
        <w:t xml:space="preserve">Product:</w:t>
      </w:r>
    </w:p>
    <w:p>
      <w:pPr>
        <w:spacing w:after="240" w:before="0"/>
        <w:jc w:val="center"/>
      </w:pPr>
      <w:r>
        <w:rPr>
          <w:rFonts w:ascii="Arial" w:cs="Arial" w:eastAsia="Arial" w:hAnsi="Arial"/>
          <w:b/>
          <w:bCs/>
          <w:color w:val="1B3A6B"/>
          <w:sz w:val="32"/>
          <w:szCs w:val="32"/>
        </w:rPr>
        <w:t xml:space="preserve">defentla.com — DEFENT ONE Portal</w:t>
      </w:r>
    </w:p>
    <w:p>
      <w:pPr>
        <w:spacing w:after="80" w:before="0"/>
        <w:jc w:val="center"/>
      </w:pPr>
      <w:r>
        <w:rPr>
          <w:rFonts w:ascii="Arial" w:cs="Arial" w:eastAsia="Arial" w:hAnsi="Arial"/>
          <w:color w:val="444444"/>
          <w:sz w:val="22"/>
          <w:szCs w:val="22"/>
        </w:rPr>
        <w:t xml:space="preserve">City of Los Angeles Free Fentanyl Detection Device Program</w:t>
      </w:r>
    </w:p>
    <w:p>
      <w:pPr>
        <w:spacing w:after="0" w:before="480"/>
      </w:pPr>
      <w:r>
        <w:t xml:space="preserve"/>
      </w:r>
    </w:p>
    <w:tbl>
      <w:tblPr>
        <w:tblW w:type="dxa" w:w="6480"/>
        <w:tblBorders>
          <w:top w:val="single" w:color="auto" w:sz="4"/>
          <w:left w:val="single" w:color="auto" w:sz="4"/>
          <w:bottom w:val="single" w:color="auto" w:sz="4"/>
          <w:right w:val="single" w:color="auto" w:sz="4"/>
          <w:insideH w:val="single" w:color="auto" w:sz="4"/>
          <w:insideV w:val="single" w:color="auto" w:sz="4"/>
        </w:tblBorders>
      </w:tblPr>
      <w:tblGrid>
        <w:gridCol w:w="2400"/>
        <w:gridCol w:w="4080"/>
      </w:tblGrid>
      <w:tr>
        <w:tc>
          <w:tcPr>
            <w:tcW w:type="dxa" w:w="2400"/>
            <w:tcBorders>
              <w:top w:val="none" w:color="FFFFFF" w:sz="0"/>
              <w:left w:val="none" w:color="FFFFFF" w:sz="0"/>
              <w:bottom w:val="none" w:color="FFFFFF" w:sz="0"/>
              <w:right w:val="none" w:color="FFFFFF" w:sz="0"/>
            </w:tcBorders>
            <w:shd w:fill="D6E4F0" w:val="clear"/>
            <w:tcMar>
              <w:top w:type="dxa" w:w="100"/>
              <w:left w:type="dxa" w:w="160"/>
              <w:bottom w:type="dxa" w:w="100"/>
              <w:right w:type="dxa" w:w="160"/>
            </w:tcMar>
          </w:tcPr>
          <w:p>
            <w:r>
              <w:rPr>
                <w:rFonts w:ascii="Arial" w:cs="Arial" w:eastAsia="Arial" w:hAnsi="Arial"/>
                <w:b/>
                <w:bCs/>
                <w:color w:val="1B3A6B"/>
                <w:sz w:val="20"/>
                <w:szCs w:val="20"/>
              </w:rPr>
              <w:t xml:space="preserve">Vendor / Operator</w:t>
            </w:r>
          </w:p>
        </w:tc>
        <w:tc>
          <w:tcPr>
            <w:tcW w:type="dxa" w:w="4080"/>
            <w:tcBorders>
              <w:top w:val="none" w:color="FFFFFF" w:sz="0"/>
              <w:left w:val="none" w:color="FFFFFF" w:sz="0"/>
              <w:bottom w:val="none" w:color="FFFFFF" w:sz="0"/>
              <w:right w:val="none" w:color="FFFFFF" w:sz="0"/>
            </w:tcBorders>
            <w:shd w:fill="F2F2F2" w:val="clear"/>
            <w:tcMar>
              <w:top w:type="dxa" w:w="100"/>
              <w:left w:type="dxa" w:w="160"/>
              <w:bottom w:type="dxa" w:w="100"/>
              <w:right w:type="dxa" w:w="160"/>
            </w:tcMar>
          </w:tcPr>
          <w:p>
            <w:r>
              <w:rPr>
                <w:rFonts w:ascii="Arial" w:cs="Arial" w:eastAsia="Arial" w:hAnsi="Arial"/>
                <w:color w:val="444444"/>
                <w:sz w:val="20"/>
                <w:szCs w:val="20"/>
              </w:rPr>
              <w:t xml:space="preserve">Defense Diagnostics (DEFENT) in partnership with the City of Los Angeles</w:t>
            </w:r>
          </w:p>
        </w:tc>
      </w:tr>
      <w:tr>
        <w:tc>
          <w:tcPr>
            <w:tcW w:type="dxa" w:w="2400"/>
            <w:tcBorders>
              <w:top w:val="none" w:color="FFFFFF" w:sz="0"/>
              <w:left w:val="none" w:color="FFFFFF" w:sz="0"/>
              <w:bottom w:val="none" w:color="FFFFFF" w:sz="0"/>
              <w:right w:val="none" w:color="FFFFFF" w:sz="0"/>
            </w:tcBorders>
            <w:shd w:fill="D6E4F0" w:val="clear"/>
            <w:tcMar>
              <w:top w:type="dxa" w:w="100"/>
              <w:left w:type="dxa" w:w="160"/>
              <w:bottom w:type="dxa" w:w="100"/>
              <w:right w:type="dxa" w:w="160"/>
            </w:tcMar>
          </w:tcPr>
          <w:p>
            <w:r>
              <w:rPr>
                <w:rFonts w:ascii="Arial" w:cs="Arial" w:eastAsia="Arial" w:hAnsi="Arial"/>
                <w:b/>
                <w:bCs/>
                <w:color w:val="1B3A6B"/>
                <w:sz w:val="20"/>
                <w:szCs w:val="20"/>
              </w:rPr>
              <w:t xml:space="preserve">Product URL</w:t>
            </w:r>
          </w:p>
        </w:tc>
        <w:tc>
          <w:tcPr>
            <w:tcW w:type="dxa" w:w="4080"/>
            <w:tcBorders>
              <w:top w:val="none" w:color="FFFFFF" w:sz="0"/>
              <w:left w:val="none" w:color="FFFFFF" w:sz="0"/>
              <w:bottom w:val="none" w:color="FFFFFF" w:sz="0"/>
              <w:right w:val="none" w:color="FFFFFF" w:sz="0"/>
            </w:tcBorders>
            <w:shd w:fill="F2F2F2" w:val="clear"/>
            <w:tcMar>
              <w:top w:type="dxa" w:w="100"/>
              <w:left w:type="dxa" w:w="160"/>
              <w:bottom w:type="dxa" w:w="100"/>
              <w:right w:type="dxa" w:w="160"/>
            </w:tcMar>
          </w:tcPr>
          <w:p>
            <w:r>
              <w:rPr>
                <w:rFonts w:ascii="Arial" w:cs="Arial" w:eastAsia="Arial" w:hAnsi="Arial"/>
                <w:color w:val="2E75B6"/>
                <w:sz w:val="20"/>
                <w:szCs w:val="20"/>
              </w:rPr>
              <w:t xml:space="preserve">https://www.defentla.com</w:t>
            </w:r>
          </w:p>
        </w:tc>
      </w:tr>
      <w:tr>
        <w:tc>
          <w:tcPr>
            <w:tcW w:type="dxa" w:w="2400"/>
            <w:tcBorders>
              <w:top w:val="none" w:color="FFFFFF" w:sz="0"/>
              <w:left w:val="none" w:color="FFFFFF" w:sz="0"/>
              <w:bottom w:val="none" w:color="FFFFFF" w:sz="0"/>
              <w:right w:val="none" w:color="FFFFFF" w:sz="0"/>
            </w:tcBorders>
            <w:shd w:fill="D6E4F0" w:val="clear"/>
            <w:tcMar>
              <w:top w:type="dxa" w:w="100"/>
              <w:left w:type="dxa" w:w="160"/>
              <w:bottom w:type="dxa" w:w="100"/>
              <w:right w:type="dxa" w:w="160"/>
            </w:tcMar>
          </w:tcPr>
          <w:p>
            <w:r>
              <w:rPr>
                <w:rFonts w:ascii="Arial" w:cs="Arial" w:eastAsia="Arial" w:hAnsi="Arial"/>
                <w:b/>
                <w:bCs/>
                <w:color w:val="1B3A6B"/>
                <w:sz w:val="20"/>
                <w:szCs w:val="20"/>
              </w:rPr>
              <w:t xml:space="preserve">Report Date</w:t>
            </w:r>
          </w:p>
        </w:tc>
        <w:tc>
          <w:tcPr>
            <w:tcW w:type="dxa" w:w="4080"/>
            <w:tcBorders>
              <w:top w:val="none" w:color="FFFFFF" w:sz="0"/>
              <w:left w:val="none" w:color="FFFFFF" w:sz="0"/>
              <w:bottom w:val="none" w:color="FFFFFF" w:sz="0"/>
              <w:right w:val="none" w:color="FFFFFF" w:sz="0"/>
            </w:tcBorders>
            <w:shd w:fill="F2F2F2" w:val="clear"/>
            <w:tcMar>
              <w:top w:type="dxa" w:w="100"/>
              <w:left w:type="dxa" w:w="160"/>
              <w:bottom w:type="dxa" w:w="100"/>
              <w:right w:type="dxa" w:w="160"/>
            </w:tcMar>
          </w:tcPr>
          <w:p>
            <w:r>
              <w:rPr>
                <w:rFonts w:ascii="Arial" w:cs="Arial" w:eastAsia="Arial" w:hAnsi="Arial"/>
                <w:color w:val="444444"/>
                <w:sz w:val="20"/>
                <w:szCs w:val="20"/>
              </w:rPr>
              <w:t xml:space="preserve">May 12, 2026</w:t>
            </w:r>
          </w:p>
        </w:tc>
      </w:tr>
      <w:tr>
        <w:tc>
          <w:tcPr>
            <w:tcW w:type="dxa" w:w="2400"/>
            <w:tcBorders>
              <w:top w:val="none" w:color="FFFFFF" w:sz="0"/>
              <w:left w:val="none" w:color="FFFFFF" w:sz="0"/>
              <w:bottom w:val="none" w:color="FFFFFF" w:sz="0"/>
              <w:right w:val="none" w:color="FFFFFF" w:sz="0"/>
            </w:tcBorders>
            <w:shd w:fill="D6E4F0" w:val="clear"/>
            <w:tcMar>
              <w:top w:type="dxa" w:w="100"/>
              <w:left w:type="dxa" w:w="160"/>
              <w:bottom w:type="dxa" w:w="100"/>
              <w:right w:type="dxa" w:w="160"/>
            </w:tcMar>
          </w:tcPr>
          <w:p>
            <w:r>
              <w:rPr>
                <w:rFonts w:ascii="Arial" w:cs="Arial" w:eastAsia="Arial" w:hAnsi="Arial"/>
                <w:b/>
                <w:bCs/>
                <w:color w:val="1B3A6B"/>
                <w:sz w:val="20"/>
                <w:szCs w:val="20"/>
              </w:rPr>
              <w:t xml:space="preserve">Report Version</w:t>
            </w:r>
          </w:p>
        </w:tc>
        <w:tc>
          <w:tcPr>
            <w:tcW w:type="dxa" w:w="4080"/>
            <w:tcBorders>
              <w:top w:val="none" w:color="FFFFFF" w:sz="0"/>
              <w:left w:val="none" w:color="FFFFFF" w:sz="0"/>
              <w:bottom w:val="none" w:color="FFFFFF" w:sz="0"/>
              <w:right w:val="none" w:color="FFFFFF" w:sz="0"/>
            </w:tcBorders>
            <w:shd w:fill="F2F2F2" w:val="clear"/>
            <w:tcMar>
              <w:top w:type="dxa" w:w="100"/>
              <w:left w:type="dxa" w:w="160"/>
              <w:bottom w:type="dxa" w:w="100"/>
              <w:right w:type="dxa" w:w="160"/>
            </w:tcMar>
          </w:tcPr>
          <w:p>
            <w:r>
              <w:rPr>
                <w:rFonts w:ascii="Arial" w:cs="Arial" w:eastAsia="Arial" w:hAnsi="Arial"/>
                <w:color w:val="444444"/>
                <w:sz w:val="20"/>
                <w:szCs w:val="20"/>
              </w:rPr>
              <w:t xml:space="preserve">1.0</w:t>
            </w:r>
          </w:p>
        </w:tc>
      </w:tr>
      <w:tr>
        <w:tc>
          <w:tcPr>
            <w:tcW w:type="dxa" w:w="2400"/>
            <w:tcBorders>
              <w:top w:val="none" w:color="FFFFFF" w:sz="0"/>
              <w:left w:val="none" w:color="FFFFFF" w:sz="0"/>
              <w:bottom w:val="none" w:color="FFFFFF" w:sz="0"/>
              <w:right w:val="none" w:color="FFFFFF" w:sz="0"/>
            </w:tcBorders>
            <w:shd w:fill="D6E4F0" w:val="clear"/>
            <w:tcMar>
              <w:top w:type="dxa" w:w="100"/>
              <w:left w:type="dxa" w:w="160"/>
              <w:bottom w:type="dxa" w:w="100"/>
              <w:right w:type="dxa" w:w="160"/>
            </w:tcMar>
          </w:tcPr>
          <w:p>
            <w:r>
              <w:rPr>
                <w:rFonts w:ascii="Arial" w:cs="Arial" w:eastAsia="Arial" w:hAnsi="Arial"/>
                <w:b/>
                <w:bCs/>
                <w:color w:val="1B3A6B"/>
                <w:sz w:val="20"/>
                <w:szCs w:val="20"/>
              </w:rPr>
              <w:t xml:space="preserve">Conformance Target</w:t>
            </w:r>
          </w:p>
        </w:tc>
        <w:tc>
          <w:tcPr>
            <w:tcW w:type="dxa" w:w="4080"/>
            <w:tcBorders>
              <w:top w:val="none" w:color="FFFFFF" w:sz="0"/>
              <w:left w:val="none" w:color="FFFFFF" w:sz="0"/>
              <w:bottom w:val="none" w:color="FFFFFF" w:sz="0"/>
              <w:right w:val="none" w:color="FFFFFF" w:sz="0"/>
            </w:tcBorders>
            <w:shd w:fill="F2F2F2" w:val="clear"/>
            <w:tcMar>
              <w:top w:type="dxa" w:w="100"/>
              <w:left w:type="dxa" w:w="160"/>
              <w:bottom w:type="dxa" w:w="100"/>
              <w:right w:type="dxa" w:w="160"/>
            </w:tcMar>
          </w:tcPr>
          <w:p>
            <w:r>
              <w:rPr>
                <w:rFonts w:ascii="Arial" w:cs="Arial" w:eastAsia="Arial" w:hAnsi="Arial"/>
                <w:color w:val="444444"/>
                <w:sz w:val="20"/>
                <w:szCs w:val="20"/>
              </w:rPr>
              <w:t xml:space="preserve">WCAG 2.1 Level A and Level AA</w:t>
            </w:r>
          </w:p>
        </w:tc>
      </w:tr>
      <w:tr>
        <w:tc>
          <w:tcPr>
            <w:tcW w:type="dxa" w:w="2400"/>
            <w:tcBorders>
              <w:top w:val="none" w:color="FFFFFF" w:sz="0"/>
              <w:left w:val="none" w:color="FFFFFF" w:sz="0"/>
              <w:bottom w:val="none" w:color="FFFFFF" w:sz="0"/>
              <w:right w:val="none" w:color="FFFFFF" w:sz="0"/>
            </w:tcBorders>
            <w:shd w:fill="D6E4F0" w:val="clear"/>
            <w:tcMar>
              <w:top w:type="dxa" w:w="100"/>
              <w:left w:type="dxa" w:w="160"/>
              <w:bottom w:type="dxa" w:w="100"/>
              <w:right w:type="dxa" w:w="160"/>
            </w:tcMar>
          </w:tcPr>
          <w:p>
            <w:r>
              <w:rPr>
                <w:rFonts w:ascii="Arial" w:cs="Arial" w:eastAsia="Arial" w:hAnsi="Arial"/>
                <w:b/>
                <w:bCs/>
                <w:color w:val="1B3A6B"/>
                <w:sz w:val="20"/>
                <w:szCs w:val="20"/>
              </w:rPr>
              <w:t xml:space="preserve">Prepared By</w:t>
            </w:r>
          </w:p>
        </w:tc>
        <w:tc>
          <w:tcPr>
            <w:tcW w:type="dxa" w:w="4080"/>
            <w:tcBorders>
              <w:top w:val="none" w:color="FFFFFF" w:sz="0"/>
              <w:left w:val="none" w:color="FFFFFF" w:sz="0"/>
              <w:bottom w:val="none" w:color="FFFFFF" w:sz="0"/>
              <w:right w:val="none" w:color="FFFFFF" w:sz="0"/>
            </w:tcBorders>
            <w:shd w:fill="F2F2F2" w:val="clear"/>
            <w:tcMar>
              <w:top w:type="dxa" w:w="100"/>
              <w:left w:type="dxa" w:w="160"/>
              <w:bottom w:type="dxa" w:w="100"/>
              <w:right w:type="dxa" w:w="160"/>
            </w:tcMar>
          </w:tcPr>
          <w:p>
            <w:r>
              <w:rPr>
                <w:rFonts w:ascii="Arial" w:cs="Arial" w:eastAsia="Arial" w:hAnsi="Arial"/>
                <w:color w:val="444444"/>
                <w:sz w:val="20"/>
                <w:szCs w:val="20"/>
              </w:rPr>
              <w:t xml:space="preserve">DEFENT Accessibility Team / Defense Diagnostics</w:t>
            </w:r>
          </w:p>
        </w:tc>
      </w:tr>
      <w:tr>
        <w:tc>
          <w:tcPr>
            <w:tcW w:type="dxa" w:w="2400"/>
            <w:tcBorders>
              <w:top w:val="none" w:color="FFFFFF" w:sz="0"/>
              <w:left w:val="none" w:color="FFFFFF" w:sz="0"/>
              <w:bottom w:val="none" w:color="FFFFFF" w:sz="0"/>
              <w:right w:val="none" w:color="FFFFFF" w:sz="0"/>
            </w:tcBorders>
            <w:shd w:fill="D6E4F0" w:val="clear"/>
            <w:tcMar>
              <w:top w:type="dxa" w:w="100"/>
              <w:left w:type="dxa" w:w="160"/>
              <w:bottom w:type="dxa" w:w="100"/>
              <w:right w:type="dxa" w:w="160"/>
            </w:tcMar>
          </w:tcPr>
          <w:p>
            <w:r>
              <w:rPr>
                <w:rFonts w:ascii="Arial" w:cs="Arial" w:eastAsia="Arial" w:hAnsi="Arial"/>
                <w:b/>
                <w:bCs/>
                <w:color w:val="1B3A6B"/>
                <w:sz w:val="20"/>
                <w:szCs w:val="20"/>
              </w:rPr>
              <w:t xml:space="preserve">Contact</w:t>
            </w:r>
          </w:p>
        </w:tc>
        <w:tc>
          <w:tcPr>
            <w:tcW w:type="dxa" w:w="4080"/>
            <w:tcBorders>
              <w:top w:val="none" w:color="FFFFFF" w:sz="0"/>
              <w:left w:val="none" w:color="FFFFFF" w:sz="0"/>
              <w:bottom w:val="none" w:color="FFFFFF" w:sz="0"/>
              <w:right w:val="none" w:color="FFFFFF" w:sz="0"/>
            </w:tcBorders>
            <w:shd w:fill="F2F2F2" w:val="clear"/>
            <w:tcMar>
              <w:top w:type="dxa" w:w="100"/>
              <w:left w:type="dxa" w:w="160"/>
              <w:bottom w:type="dxa" w:w="100"/>
              <w:right w:type="dxa" w:w="160"/>
            </w:tcMar>
          </w:tcPr>
          <w:p>
            <w:r>
              <w:rPr>
                <w:rFonts w:ascii="Arial" w:cs="Arial" w:eastAsia="Arial" w:hAnsi="Arial"/>
                <w:color w:val="2E75B6"/>
                <w:sz w:val="20"/>
                <w:szCs w:val="20"/>
              </w:rPr>
              <w:t xml:space="preserve">support@defent.com</w:t>
            </w:r>
          </w:p>
        </w:tc>
      </w:tr>
    </w:tbl>
    <w:p>
      <w:pPr>
        <w:spacing w:after="0" w:before="720"/>
      </w:pPr>
      <w:r>
        <w:t xml:space="preserve"/>
      </w:r>
    </w:p>
    <w:p>
      <w:pPr>
        <w:jc w:val="center"/>
      </w:pPr>
      <w:r>
        <w:rPr>
          <w:rFonts w:ascii="Arial" w:cs="Arial" w:eastAsia="Arial" w:hAnsi="Arial"/>
          <w:i/>
          <w:iCs/>
          <w:color w:val="888888"/>
          <w:sz w:val="18"/>
          <w:szCs w:val="18"/>
        </w:rPr>
        <w:t xml:space="preserve">Next Scheduled Review: November 12, 2026</w:t>
      </w:r>
    </w:p>
    <w:p>
      <w:pPr>
        <w:pageBreakBefore/>
      </w:pPr>
      <w:r>
        <w:t xml:space="preserve"/>
      </w:r>
    </w:p>
    <w:p>
      <w:pPr>
        <w:pStyle w:val="Heading1"/>
        <w:pBdr>
          <w:bottom w:val="single" w:color="2E75B6" w:sz="6" w:space="4"/>
        </w:pBdr>
        <w:spacing w:after="120" w:before="360"/>
      </w:pPr>
      <w:r>
        <w:rPr>
          <w:rFonts w:ascii="Arial" w:cs="Arial" w:eastAsia="Arial" w:hAnsi="Arial"/>
          <w:b/>
          <w:bCs/>
          <w:color w:val="1B3A6B"/>
          <w:sz w:val="28"/>
          <w:szCs w:val="28"/>
        </w:rPr>
        <w:t xml:space="preserve">About This Report</w:t>
      </w:r>
    </w:p>
    <w:p>
      <w:pPr>
        <w:spacing w:after="60" w:before="60"/>
      </w:pPr>
      <w:r>
        <w:rPr>
          <w:rFonts w:ascii="Arial" w:cs="Arial" w:eastAsia="Arial" w:hAnsi="Arial"/>
          <w:color w:val="444444"/>
          <w:sz w:val="20"/>
          <w:szCs w:val="20"/>
        </w:rPr>
        <w:t xml:space="preserve">This Voluntary Product Accessibility Template (VPAT) documents the accessibility conformance of defentla.com, the DEFENT ONE device ordering portal operated by Defense Diagnostics in partnership with the City of Los Angeles. This report uses VPAT version 2.4 and evaluates conformance against WCAG 2.1 Level A and Level AA success criteria as required by Title II of the Americans with Disabilities Act (ADA), Section 508 of the Rehabilitation Act, and City of Los Angeles accessibility procurement requirements.</w:t>
      </w:r>
    </w:p>
    <w:p>
      <w:pPr>
        <w:spacing w:after="0" w:before="80"/>
      </w:pPr>
      <w:r>
        <w:t xml:space="preserve"/>
      </w:r>
    </w:p>
    <w:p>
      <w:pPr>
        <w:spacing w:after="60" w:before="60"/>
      </w:pPr>
      <w:r>
        <w:rPr>
          <w:rFonts w:ascii="Arial" w:cs="Arial" w:eastAsia="Arial" w:hAnsi="Arial"/>
          <w:color w:val="444444"/>
          <w:sz w:val="20"/>
          <w:szCs w:val="20"/>
        </w:rPr>
        <w:t xml:space="preserve">The portal enables Los Angeles residents and City-funded nonprofit organizations to request free DEFENT ONE fentanyl detection devices. As a public health resource funded by the City of Los Angeles, equal access to this portal is a legal and ethical obligation.</w:t>
      </w:r>
    </w:p>
    <w:p>
      <w:pPr>
        <w:spacing w:after="0" w:before="120"/>
      </w:pPr>
      <w:r>
        <w:t xml:space="preserve"/>
      </w:r>
    </w:p>
    <w:p>
      <w:pPr>
        <w:pStyle w:val="Heading2"/>
        <w:spacing w:after="80" w:before="240"/>
      </w:pPr>
      <w:r>
        <w:rPr>
          <w:rFonts w:ascii="Arial" w:cs="Arial" w:eastAsia="Arial" w:hAnsi="Arial"/>
          <w:b/>
          <w:bCs/>
          <w:color w:val="1B3A6B"/>
          <w:sz w:val="24"/>
          <w:szCs w:val="24"/>
        </w:rPr>
        <w:t xml:space="preserve">Conformance Levels Used in This Report</w:t>
      </w:r>
    </w:p>
    <w:p>
      <w:pPr>
        <w:spacing w:after="0" w:before="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7360"/>
      </w:tblGrid>
      <w:tr>
        <w:trPr>
          <w:tblHeader/>
        </w:trPr>
        <w:tc>
          <w:tcPr>
            <w:tcW w:type="dxa" w:w="200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Level</w:t>
            </w:r>
          </w:p>
        </w:tc>
        <w:tc>
          <w:tcPr>
            <w:tcW w:type="dxa" w:w="736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Definition</w:t>
            </w:r>
          </w:p>
        </w:tc>
      </w:tr>
      <w:tr>
        <w:tc>
          <w:tcPr>
            <w:tcW w:type="dxa" w:w="20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tcPr>
          <w:p>
            <w:r>
              <w:rPr>
                <w:rFonts w:ascii="Arial" w:cs="Arial" w:eastAsia="Arial" w:hAnsi="Arial"/>
                <w:b/>
                <w:bCs/>
                <w:color w:val="375623"/>
                <w:sz w:val="18"/>
                <w:szCs w:val="18"/>
              </w:rPr>
              <w:t xml:space="preserve">Supports</w:t>
            </w:r>
          </w:p>
        </w:tc>
        <w:tc>
          <w:tcPr>
            <w:tcW w:type="dxa" w:w="73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The functionality of the product has at least one method that meets the criterion without known defects or meets with equivalent facilitation.</w:t>
            </w:r>
          </w:p>
        </w:tc>
      </w:tr>
      <w:tr>
        <w:tc>
          <w:tcPr>
            <w:tcW w:type="dxa" w:w="2000"/>
            <w:tcBorders>
              <w:top w:val="single" w:color="BBBBBB" w:sz="4"/>
              <w:left w:val="single" w:color="BBBBBB" w:sz="4"/>
              <w:bottom w:val="single" w:color="BBBBBB" w:sz="4"/>
              <w:right w:val="single" w:color="BBBBBB" w:sz="4"/>
            </w:tcBorders>
            <w:shd w:fill="FFF2CC" w:val="clear"/>
            <w:tcMar>
              <w:top w:type="dxa" w:w="80"/>
              <w:left w:type="dxa" w:w="120"/>
              <w:bottom w:type="dxa" w:w="80"/>
              <w:right w:type="dxa" w:w="120"/>
            </w:tcMar>
          </w:tcPr>
          <w:p>
            <w:r>
              <w:rPr>
                <w:rFonts w:ascii="Arial" w:cs="Arial" w:eastAsia="Arial" w:hAnsi="Arial"/>
                <w:b/>
                <w:bCs/>
                <w:color w:val="7D6608"/>
                <w:sz w:val="18"/>
                <w:szCs w:val="18"/>
              </w:rPr>
              <w:t xml:space="preserve">Partially Supports</w:t>
            </w:r>
          </w:p>
        </w:tc>
        <w:tc>
          <w:tcPr>
            <w:tcW w:type="dxa" w:w="73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Some functionality of the product does not meet the criterion. Active remediation is in progress.</w:t>
            </w:r>
          </w:p>
        </w:tc>
      </w:tr>
      <w:tr>
        <w:tc>
          <w:tcPr>
            <w:tcW w:type="dxa" w:w="2000"/>
            <w:tcBorders>
              <w:top w:val="single" w:color="BBBBBB" w:sz="4"/>
              <w:left w:val="single" w:color="BBBBBB" w:sz="4"/>
              <w:bottom w:val="single" w:color="BBBBBB" w:sz="4"/>
              <w:right w:val="single" w:color="BBBBBB" w:sz="4"/>
            </w:tcBorders>
            <w:shd w:fill="FCE4D6" w:val="clear"/>
            <w:tcMar>
              <w:top w:type="dxa" w:w="80"/>
              <w:left w:type="dxa" w:w="120"/>
              <w:bottom w:type="dxa" w:w="80"/>
              <w:right w:type="dxa" w:w="120"/>
            </w:tcMar>
          </w:tcPr>
          <w:p>
            <w:r>
              <w:rPr>
                <w:rFonts w:ascii="Arial" w:cs="Arial" w:eastAsia="Arial" w:hAnsi="Arial"/>
                <w:b/>
                <w:bCs/>
                <w:color w:val="922B21"/>
                <w:sz w:val="18"/>
                <w:szCs w:val="18"/>
              </w:rPr>
              <w:t xml:space="preserve">Does Not Support</w:t>
            </w:r>
          </w:p>
        </w:tc>
        <w:tc>
          <w:tcPr>
            <w:tcW w:type="dxa" w:w="73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The majority of product functionality does not meet the criterion.</w:t>
            </w:r>
          </w:p>
        </w:tc>
      </w:tr>
      <w:tr>
        <w:tc>
          <w:tcPr>
            <w:tcW w:type="dxa" w:w="20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tcPr>
          <w:p>
            <w:r>
              <w:rPr>
                <w:rFonts w:ascii="Arial" w:cs="Arial" w:eastAsia="Arial" w:hAnsi="Arial"/>
                <w:b/>
                <w:bCs/>
                <w:color w:val="666666"/>
                <w:sz w:val="18"/>
                <w:szCs w:val="18"/>
              </w:rPr>
              <w:t xml:space="preserve">Not Applicable</w:t>
            </w:r>
          </w:p>
        </w:tc>
        <w:tc>
          <w:tcPr>
            <w:tcW w:type="dxa" w:w="73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The criterion is not relevant to this product.</w:t>
            </w:r>
          </w:p>
        </w:tc>
      </w:tr>
    </w:tbl>
    <w:p>
      <w:pPr>
        <w:spacing w:after="0" w:before="120"/>
      </w:pPr>
      <w:r>
        <w:t xml:space="preserve"/>
      </w:r>
    </w:p>
    <w:p>
      <w:pPr>
        <w:pageBreakBefore/>
      </w:pPr>
      <w:r>
        <w:t xml:space="preserve"/>
      </w:r>
    </w:p>
    <w:p>
      <w:pPr>
        <w:pStyle w:val="Heading1"/>
        <w:pBdr>
          <w:bottom w:val="single" w:color="2E75B6" w:sz="6" w:space="4"/>
        </w:pBdr>
        <w:spacing w:after="120" w:before="360"/>
      </w:pPr>
      <w:r>
        <w:rPr>
          <w:rFonts w:ascii="Arial" w:cs="Arial" w:eastAsia="Arial" w:hAnsi="Arial"/>
          <w:b/>
          <w:bCs/>
          <w:color w:val="1B3A6B"/>
          <w:sz w:val="28"/>
          <w:szCs w:val="28"/>
        </w:rPr>
        <w:t xml:space="preserve">Product Description</w:t>
      </w:r>
    </w:p>
    <w:p>
      <w:pPr>
        <w:spacing w:after="40" w:before="40"/>
      </w:pPr>
      <w:r>
        <w:rPr>
          <w:rFonts w:ascii="Arial" w:cs="Arial" w:eastAsia="Arial" w:hAnsi="Arial"/>
          <w:b/>
          <w:bCs/>
          <w:color w:val="1B3A6B"/>
          <w:sz w:val="20"/>
          <w:szCs w:val="20"/>
        </w:rPr>
        <w:t xml:space="preserve">Product Name: </w:t>
      </w:r>
      <w:r>
        <w:rPr>
          <w:rFonts w:ascii="Arial" w:cs="Arial" w:eastAsia="Arial" w:hAnsi="Arial"/>
          <w:color w:val="444444"/>
          <w:sz w:val="20"/>
          <w:szCs w:val="20"/>
        </w:rPr>
        <w:t xml:space="preserve">DEFENT ONE Portal (defentla.com)</w:t>
      </w:r>
    </w:p>
    <w:p>
      <w:pPr>
        <w:spacing w:after="40" w:before="40"/>
      </w:pPr>
      <w:r>
        <w:rPr>
          <w:rFonts w:ascii="Arial" w:cs="Arial" w:eastAsia="Arial" w:hAnsi="Arial"/>
          <w:b/>
          <w:bCs/>
          <w:color w:val="1B3A6B"/>
          <w:sz w:val="20"/>
          <w:szCs w:val="20"/>
        </w:rPr>
        <w:t xml:space="preserve">Product Version / Build: </w:t>
      </w:r>
      <w:r>
        <w:rPr>
          <w:rFonts w:ascii="Arial" w:cs="Arial" w:eastAsia="Arial" w:hAnsi="Arial"/>
          <w:color w:val="444444"/>
          <w:sz w:val="20"/>
          <w:szCs w:val="20"/>
        </w:rPr>
        <w:t xml:space="preserve">WordPress / WooCommerce 10.7.0</w:t>
      </w:r>
    </w:p>
    <w:p>
      <w:pPr>
        <w:spacing w:after="40" w:before="40"/>
      </w:pPr>
      <w:r>
        <w:rPr>
          <w:rFonts w:ascii="Arial" w:cs="Arial" w:eastAsia="Arial" w:hAnsi="Arial"/>
          <w:b/>
          <w:bCs/>
          <w:color w:val="1B3A6B"/>
          <w:sz w:val="20"/>
          <w:szCs w:val="20"/>
        </w:rPr>
        <w:t xml:space="preserve">Platform: </w:t>
      </w:r>
      <w:r>
        <w:rPr>
          <w:rFonts w:ascii="Arial" w:cs="Arial" w:eastAsia="Arial" w:hAnsi="Arial"/>
          <w:color w:val="444444"/>
          <w:sz w:val="20"/>
          <w:szCs w:val="20"/>
        </w:rPr>
        <w:t xml:space="preserve">Web-based (responsive, mobile-first)</w:t>
      </w:r>
    </w:p>
    <w:p>
      <w:pPr>
        <w:spacing w:after="40" w:before="40"/>
      </w:pPr>
      <w:r>
        <w:rPr>
          <w:rFonts w:ascii="Arial" w:cs="Arial" w:eastAsia="Arial" w:hAnsi="Arial"/>
          <w:b/>
          <w:bCs/>
          <w:color w:val="1B3A6B"/>
          <w:sz w:val="20"/>
          <w:szCs w:val="20"/>
        </w:rPr>
        <w:t xml:space="preserve">Program Operator: </w:t>
      </w:r>
      <w:r>
        <w:rPr>
          <w:rFonts w:ascii="Arial" w:cs="Arial" w:eastAsia="Arial" w:hAnsi="Arial"/>
          <w:color w:val="444444"/>
          <w:sz w:val="20"/>
          <w:szCs w:val="20"/>
        </w:rPr>
        <w:t xml:space="preserve">Defense Diagnostics in partnership with the City of Los Angeles</w:t>
      </w:r>
    </w:p>
    <w:p>
      <w:pPr>
        <w:spacing w:after="40" w:before="40"/>
      </w:pPr>
      <w:r>
        <w:rPr>
          <w:rFonts w:ascii="Arial" w:cs="Arial" w:eastAsia="Arial" w:hAnsi="Arial"/>
          <w:b/>
          <w:bCs/>
          <w:color w:val="1B3A6B"/>
          <w:sz w:val="20"/>
          <w:szCs w:val="20"/>
        </w:rPr>
        <w:t xml:space="preserve">Program Purpose: </w:t>
      </w:r>
      <w:r>
        <w:rPr>
          <w:rFonts w:ascii="Arial" w:cs="Arial" w:eastAsia="Arial" w:hAnsi="Arial"/>
          <w:color w:val="444444"/>
          <w:sz w:val="20"/>
          <w:szCs w:val="20"/>
        </w:rPr>
        <w:t xml:space="preserve">Public health portal for Los Angeles residents to claim free DEFENT ONE fentanyl detection devices</w:t>
      </w:r>
    </w:p>
    <w:p>
      <w:pPr>
        <w:spacing w:after="0" w:before="80"/>
      </w:pPr>
      <w:r>
        <w:t xml:space="preserve"/>
      </w:r>
    </w:p>
    <w:p>
      <w:pPr>
        <w:spacing w:after="60" w:before="60"/>
      </w:pPr>
      <w:r>
        <w:rPr>
          <w:rFonts w:ascii="Arial" w:cs="Arial" w:eastAsia="Arial" w:hAnsi="Arial"/>
          <w:color w:val="444444"/>
          <w:sz w:val="20"/>
          <w:szCs w:val="20"/>
        </w:rPr>
        <w:t xml:space="preserve">The portal consists of four primary functional areas evaluated in this report:</w:t>
      </w:r>
    </w:p>
    <w:p>
      <w:pPr>
        <w:spacing w:after="0" w:before="40"/>
      </w:pPr>
      <w:r>
        <w:t xml:space="preserve"/>
      </w:r>
    </w:p>
    <w:p>
      <w:pPr>
        <w:pStyle w:val="ListParagraph"/>
        <w:numPr>
          <w:ilvl w:val="0"/>
          <w:numId w:val="2"/>
        </w:numPr>
        <w:spacing w:after="40" w:before="40"/>
      </w:pPr>
      <w:r>
        <w:rPr>
          <w:rFonts w:ascii="Arial" w:cs="Arial" w:eastAsia="Arial" w:hAnsi="Arial"/>
          <w:color w:val="444444"/>
          <w:sz w:val="20"/>
          <w:szCs w:val="20"/>
        </w:rPr>
        <w:t xml:space="preserve">Homepage (defentla.com) — Program information, CTA, embedded video</w:t>
      </w:r>
    </w:p>
    <w:p>
      <w:pPr>
        <w:pStyle w:val="ListParagraph"/>
        <w:numPr>
          <w:ilvl w:val="0"/>
          <w:numId w:val="2"/>
        </w:numPr>
        <w:spacing w:after="40" w:before="40"/>
      </w:pPr>
      <w:r>
        <w:rPr>
          <w:rFonts w:ascii="Arial" w:cs="Arial" w:eastAsia="Arial" w:hAnsi="Arial"/>
          <w:color w:val="444444"/>
          <w:sz w:val="20"/>
          <w:szCs w:val="20"/>
        </w:rPr>
        <w:t xml:space="preserve">Order Checkout (/checkout/) — Resident shipping form with demographic data collection</w:t>
      </w:r>
    </w:p>
    <w:p>
      <w:pPr>
        <w:pStyle w:val="ListParagraph"/>
        <w:numPr>
          <w:ilvl w:val="0"/>
          <w:numId w:val="2"/>
        </w:numPr>
        <w:spacing w:after="40" w:before="40"/>
      </w:pPr>
      <w:r>
        <w:rPr>
          <w:rFonts w:ascii="Arial" w:cs="Arial" w:eastAsia="Arial" w:hAnsi="Arial"/>
          <w:color w:val="444444"/>
          <w:sz w:val="20"/>
          <w:szCs w:val="20"/>
        </w:rPr>
        <w:t xml:space="preserve">Non-Profit Contact Form (/non-profit-community-org-contact-form/) — Organizational bulk request form</w:t>
      </w:r>
    </w:p>
    <w:p>
      <w:pPr>
        <w:pStyle w:val="ListParagraph"/>
        <w:numPr>
          <w:ilvl w:val="0"/>
          <w:numId w:val="2"/>
        </w:numPr>
        <w:spacing w:after="40" w:before="40"/>
      </w:pPr>
      <w:r>
        <w:rPr>
          <w:rFonts w:ascii="Arial" w:cs="Arial" w:eastAsia="Arial" w:hAnsi="Arial"/>
          <w:color w:val="444444"/>
          <w:sz w:val="20"/>
          <w:szCs w:val="20"/>
        </w:rPr>
        <w:t xml:space="preserve">Accessibility Statement (/accessibility-statement/) — Conformance documentation and feedback mechanism</w:t>
      </w:r>
    </w:p>
    <w:p>
      <w:pPr>
        <w:spacing w:after="0" w:before="120"/>
      </w:pPr>
      <w:r>
        <w:t xml:space="preserve"/>
      </w:r>
    </w:p>
    <w:p>
      <w:pPr>
        <w:pageBreakBefore/>
      </w:pPr>
      <w:r>
        <w:t xml:space="preserve"/>
      </w:r>
    </w:p>
    <w:p>
      <w:pPr>
        <w:pStyle w:val="Heading1"/>
        <w:pBdr>
          <w:bottom w:val="single" w:color="2E75B6" w:sz="6" w:space="4"/>
        </w:pBdr>
        <w:spacing w:after="120" w:before="360"/>
      </w:pPr>
      <w:r>
        <w:rPr>
          <w:rFonts w:ascii="Arial" w:cs="Arial" w:eastAsia="Arial" w:hAnsi="Arial"/>
          <w:b/>
          <w:bCs/>
          <w:color w:val="1B3A6B"/>
          <w:sz w:val="28"/>
          <w:szCs w:val="28"/>
        </w:rPr>
        <w:t xml:space="preserve">Testing Methodology</w:t>
      </w:r>
    </w:p>
    <w:p>
      <w:pPr>
        <w:spacing w:after="60" w:before="60"/>
      </w:pPr>
      <w:r>
        <w:rPr>
          <w:rFonts w:ascii="Arial" w:cs="Arial" w:eastAsia="Arial" w:hAnsi="Arial"/>
          <w:color w:val="444444"/>
          <w:sz w:val="20"/>
          <w:szCs w:val="20"/>
        </w:rPr>
        <w:t xml:space="preserve">defentla.com was evaluated using the following combination of automated, manual, and assistive technology testing methods:</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rPr>
          <w:tblHeader/>
        </w:trPr>
        <w:tc>
          <w:tcPr>
            <w:tcW w:type="dxa" w:w="280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Method</w:t>
            </w:r>
          </w:p>
        </w:tc>
        <w:tc>
          <w:tcPr>
            <w:tcW w:type="dxa" w:w="656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Tools / Details</w:t>
            </w:r>
          </w:p>
        </w:tc>
      </w:tr>
      <w:tr>
        <w:tc>
          <w:tcPr>
            <w:tcW w:type="dxa" w:w="28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tcPr>
          <w:p>
            <w:r>
              <w:rPr>
                <w:rFonts w:ascii="Arial" w:cs="Arial" w:eastAsia="Arial" w:hAnsi="Arial"/>
                <w:b/>
                <w:bCs/>
                <w:color w:val="1B3A6B"/>
                <w:sz w:val="18"/>
                <w:szCs w:val="18"/>
              </w:rPr>
              <w:t xml:space="preserve">Automated Scanning</w:t>
            </w:r>
          </w:p>
        </w:tc>
        <w:tc>
          <w:tcPr>
            <w:tcW w:type="dxa" w:w="6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axe DevTools, WAVE (WebAIM), Google Lighthouse Accessibility Audit</w:t>
            </w:r>
          </w:p>
        </w:tc>
      </w:tr>
      <w:tr>
        <w:tc>
          <w:tcPr>
            <w:tcW w:type="dxa" w:w="28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tcPr>
          <w:p>
            <w:r>
              <w:rPr>
                <w:rFonts w:ascii="Arial" w:cs="Arial" w:eastAsia="Arial" w:hAnsi="Arial"/>
                <w:b/>
                <w:bCs/>
                <w:color w:val="1B3A6B"/>
                <w:sz w:val="18"/>
                <w:szCs w:val="18"/>
              </w:rPr>
              <w:t xml:space="preserve">Keyboard Testing</w:t>
            </w:r>
          </w:p>
        </w:tc>
        <w:tc>
          <w:tcPr>
            <w:tcW w:type="dxa" w:w="6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Manual Tab/Shift-Tab navigation across all interactive elements on all four pages; Enter/Space activation verification</w:t>
            </w:r>
          </w:p>
        </w:tc>
      </w:tr>
      <w:tr>
        <w:tc>
          <w:tcPr>
            <w:tcW w:type="dxa" w:w="28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tcPr>
          <w:p>
            <w:r>
              <w:rPr>
                <w:rFonts w:ascii="Arial" w:cs="Arial" w:eastAsia="Arial" w:hAnsi="Arial"/>
                <w:b/>
                <w:bCs/>
                <w:color w:val="1B3A6B"/>
                <w:sz w:val="18"/>
                <w:szCs w:val="18"/>
              </w:rPr>
              <w:t xml:space="preserve">Screen Reader Testing</w:t>
            </w:r>
          </w:p>
        </w:tc>
        <w:tc>
          <w:tcPr>
            <w:tcW w:type="dxa" w:w="6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NVDA 2024.x with Mozilla Firefox (Windows); VoiceOver with Safari (macOS and iOS)</w:t>
            </w:r>
          </w:p>
        </w:tc>
      </w:tr>
      <w:tr>
        <w:tc>
          <w:tcPr>
            <w:tcW w:type="dxa" w:w="28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tcPr>
          <w:p>
            <w:r>
              <w:rPr>
                <w:rFonts w:ascii="Arial" w:cs="Arial" w:eastAsia="Arial" w:hAnsi="Arial"/>
                <w:b/>
                <w:bCs/>
                <w:color w:val="1B3A6B"/>
                <w:sz w:val="18"/>
                <w:szCs w:val="18"/>
              </w:rPr>
              <w:t xml:space="preserve">Color Contrast</w:t>
            </w:r>
          </w:p>
        </w:tc>
        <w:tc>
          <w:tcPr>
            <w:tcW w:type="dxa" w:w="6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WebAIM Contrast Checker; Stark (Figma plugin); browser DevTools color picker</w:t>
            </w:r>
          </w:p>
        </w:tc>
      </w:tr>
      <w:tr>
        <w:tc>
          <w:tcPr>
            <w:tcW w:type="dxa" w:w="28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tcPr>
          <w:p>
            <w:r>
              <w:rPr>
                <w:rFonts w:ascii="Arial" w:cs="Arial" w:eastAsia="Arial" w:hAnsi="Arial"/>
                <w:b/>
                <w:bCs/>
                <w:color w:val="1B3A6B"/>
                <w:sz w:val="18"/>
                <w:szCs w:val="18"/>
              </w:rPr>
              <w:t xml:space="preserve">Mobile Testing</w:t>
            </w:r>
          </w:p>
        </w:tc>
        <w:tc>
          <w:tcPr>
            <w:tcW w:type="dxa" w:w="6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iOS Safari with VoiceOver; Android Chrome with TalkBack; 200% browser zoom reflow testing</w:t>
            </w:r>
          </w:p>
        </w:tc>
      </w:tr>
      <w:tr>
        <w:tc>
          <w:tcPr>
            <w:tcW w:type="dxa" w:w="28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tcPr>
          <w:p>
            <w:r>
              <w:rPr>
                <w:rFonts w:ascii="Arial" w:cs="Arial" w:eastAsia="Arial" w:hAnsi="Arial"/>
                <w:b/>
                <w:bCs/>
                <w:color w:val="1B3A6B"/>
                <w:sz w:val="18"/>
                <w:szCs w:val="18"/>
              </w:rPr>
              <w:t xml:space="preserve">Structural Review</w:t>
            </w:r>
          </w:p>
        </w:tc>
        <w:tc>
          <w:tcPr>
            <w:tcW w:type="dxa" w:w="6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Manual HTML source review for semantic structure, heading hierarchy, form labeling, ARIA usage, and language attributes</w:t>
            </w:r>
          </w:p>
        </w:tc>
      </w:tr>
    </w:tbl>
    <w:p>
      <w:pPr>
        <w:spacing w:after="0" w:before="80"/>
      </w:pPr>
      <w:r>
        <w:t xml:space="preserve"/>
      </w:r>
    </w:p>
    <w:p>
      <w:pPr>
        <w:spacing w:after="40" w:before="40"/>
      </w:pPr>
      <w:r>
        <w:rPr>
          <w:rFonts w:ascii="Arial" w:cs="Arial" w:eastAsia="Arial" w:hAnsi="Arial"/>
          <w:b/>
          <w:bCs/>
          <w:color w:val="1B3A6B"/>
          <w:sz w:val="20"/>
          <w:szCs w:val="20"/>
        </w:rPr>
        <w:t xml:space="preserve">Testing Date: </w:t>
      </w:r>
      <w:r>
        <w:rPr>
          <w:rFonts w:ascii="Arial" w:cs="Arial" w:eastAsia="Arial" w:hAnsi="Arial"/>
          <w:color w:val="444444"/>
          <w:sz w:val="20"/>
          <w:szCs w:val="20"/>
        </w:rPr>
        <w:t xml:space="preserve">May 2026</w:t>
      </w:r>
    </w:p>
    <w:p>
      <w:pPr>
        <w:spacing w:after="40" w:before="40"/>
      </w:pPr>
      <w:r>
        <w:rPr>
          <w:rFonts w:ascii="Arial" w:cs="Arial" w:eastAsia="Arial" w:hAnsi="Arial"/>
          <w:b/>
          <w:bCs/>
          <w:color w:val="1B3A6B"/>
          <w:sz w:val="20"/>
          <w:szCs w:val="20"/>
        </w:rPr>
        <w:t xml:space="preserve">Tester: </w:t>
      </w:r>
      <w:r>
        <w:rPr>
          <w:rFonts w:ascii="Arial" w:cs="Arial" w:eastAsia="Arial" w:hAnsi="Arial"/>
          <w:color w:val="444444"/>
          <w:sz w:val="20"/>
          <w:szCs w:val="20"/>
        </w:rPr>
        <w:t xml:space="preserve">DEFENT Accessibility Team / Defense Diagnostics</w:t>
      </w:r>
    </w:p>
    <w:p>
      <w:pPr>
        <w:spacing w:after="0" w:before="120"/>
      </w:pPr>
      <w:r>
        <w:t xml:space="preserve"/>
      </w:r>
    </w:p>
    <w:p>
      <w:pPr>
        <w:pageBreakBefore/>
      </w:pPr>
      <w:r>
        <w:t xml:space="preserve"/>
      </w:r>
    </w:p>
    <w:p>
      <w:pPr>
        <w:pStyle w:val="Heading1"/>
        <w:pBdr>
          <w:bottom w:val="single" w:color="2E75B6" w:sz="6" w:space="4"/>
        </w:pBdr>
        <w:spacing w:after="120" w:before="360"/>
      </w:pPr>
      <w:r>
        <w:rPr>
          <w:rFonts w:ascii="Arial" w:cs="Arial" w:eastAsia="Arial" w:hAnsi="Arial"/>
          <w:b/>
          <w:bCs/>
          <w:color w:val="1B3A6B"/>
          <w:sz w:val="28"/>
          <w:szCs w:val="28"/>
        </w:rPr>
        <w:t xml:space="preserve">Section 1: WCAG 2.1 Level A — Success Criteria</w:t>
      </w:r>
    </w:p>
    <w:p>
      <w:pPr>
        <w:spacing w:after="60" w:before="60"/>
      </w:pPr>
      <w:r>
        <w:rPr>
          <w:rFonts w:ascii="Arial" w:cs="Arial" w:eastAsia="Arial" w:hAnsi="Arial"/>
          <w:color w:val="444444"/>
          <w:sz w:val="20"/>
          <w:szCs w:val="20"/>
        </w:rPr>
        <w:t xml:space="preserve">The following table documents conformance with all applicable WCAG 2.1 Level A success criteria.</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600"/>
        <w:gridCol w:w="5560"/>
      </w:tblGrid>
      <w:tr>
        <w:trPr>
          <w:tblHeader/>
        </w:trPr>
        <w:tc>
          <w:tcPr>
            <w:tcW w:type="dxa" w:w="220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Success Criterion</w:t>
            </w:r>
          </w:p>
        </w:tc>
        <w:tc>
          <w:tcPr>
            <w:tcW w:type="dxa" w:w="160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Conformance Level</w:t>
            </w:r>
          </w:p>
        </w:tc>
        <w:tc>
          <w:tcPr>
            <w:tcW w:type="dxa" w:w="556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Remarks and Explanations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1.1.1 Non-text Content</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FFF2CC" w:val="clear"/>
            <w:tcMar>
              <w:top w:type="dxa" w:w="80"/>
              <w:left w:type="dxa" w:w="120"/>
              <w:bottom w:type="dxa" w:w="80"/>
              <w:right w:type="dxa" w:w="120"/>
            </w:tcMar>
            <w:vAlign w:val="top"/>
          </w:tcPr>
          <w:p>
            <w:pPr>
              <w:jc w:val="center"/>
            </w:pPr>
            <w:r>
              <w:rPr>
                <w:rFonts w:ascii="Arial" w:cs="Arial" w:eastAsia="Arial" w:hAnsi="Arial"/>
                <w:b/>
                <w:bCs/>
                <w:color w:val="7D6608"/>
                <w:sz w:val="18"/>
                <w:szCs w:val="18"/>
              </w:rPr>
              <w:t xml:space="preserve">Partially 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All primary images include descriptive alternative text (logo, product images). The Facebook tracking pixel uses alt="fbpx" rather than the correct empty alt="" value, causing screen readers to announce the text "fbpx" unnecessarily. Remediation: change to alt="" — in progress.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1.2.1 Audio-only and Video-only (Prerecorded)</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FFF2CC" w:val="clear"/>
            <w:tcMar>
              <w:top w:type="dxa" w:w="80"/>
              <w:left w:type="dxa" w:w="120"/>
              <w:bottom w:type="dxa" w:w="80"/>
              <w:right w:type="dxa" w:w="120"/>
            </w:tcMar>
            <w:vAlign w:val="top"/>
          </w:tcPr>
          <w:p>
            <w:pPr>
              <w:jc w:val="center"/>
            </w:pPr>
            <w:r>
              <w:rPr>
                <w:rFonts w:ascii="Arial" w:cs="Arial" w:eastAsia="Arial" w:hAnsi="Arial"/>
                <w:b/>
                <w:bCs/>
                <w:color w:val="7D6608"/>
                <w:sz w:val="18"/>
                <w:szCs w:val="18"/>
              </w:rPr>
              <w:t xml:space="preserve">Partially 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The home page includes a prerecorded DEFENT ONE product video. A text alternative (transcript) is not currently visible in page markup. Captions and transcript are in active development. Alternative access via email is documented in the Accessibility Statement.</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1.2.2 Captions (Prerecorded)</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FFF2CC" w:val="clear"/>
            <w:tcMar>
              <w:top w:type="dxa" w:w="80"/>
              <w:left w:type="dxa" w:w="120"/>
              <w:bottom w:type="dxa" w:w="80"/>
              <w:right w:type="dxa" w:w="120"/>
            </w:tcMar>
            <w:vAlign w:val="top"/>
          </w:tcPr>
          <w:p>
            <w:pPr>
              <w:jc w:val="center"/>
            </w:pPr>
            <w:r>
              <w:rPr>
                <w:rFonts w:ascii="Arial" w:cs="Arial" w:eastAsia="Arial" w:hAnsi="Arial"/>
                <w:b/>
                <w:bCs/>
                <w:color w:val="7D6608"/>
                <w:sz w:val="18"/>
                <w:szCs w:val="18"/>
              </w:rPr>
              <w:t xml:space="preserve">Partially 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Captions are not yet present on the embedded home page video. This is a documented known limitation. Captioning is actively in progress with a target completion date of June 2026.</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1.2.3 Audio Description or Media Alt. (Prerecorded)</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vAlign w:val="top"/>
          </w:tcPr>
          <w:p>
            <w:pPr>
              <w:jc w:val="center"/>
            </w:pPr>
            <w:r>
              <w:rPr>
                <w:rFonts w:ascii="Arial" w:cs="Arial" w:eastAsia="Arial" w:hAnsi="Arial"/>
                <w:b/>
                <w:bCs/>
                <w:color w:val="666666"/>
                <w:sz w:val="18"/>
                <w:szCs w:val="18"/>
              </w:rPr>
              <w:t xml:space="preserve">Not Applicable</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The video does not contain visual information that is not conveyed through the audio track.</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1.3.1 Info and Relationships</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Page structure uses semantic HTML including proper heading hierarchy (H1, H2, H3). Form fields on the checkout and non-profit forms are grouped with appropriate section headers. Required fields are marked both visually and programmatically. Checkbox groups use semantic grouping with visible group labels.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1.3.2 Meaningful Sequence</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Reading order of all pages matches the visual presentation order. DOM order is logical and consistent across all four pages.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1.3.3 Sensory Characteristics</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Instructions do not rely solely on shape, color, size, or visual location. Required field indicators use both an asterisk (*) and the word "required" as text.</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1.4.1 Use of Color</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Color is not used as the sole means of conveying information. Required fields are indicated with an asterisk and explanatory text in addition to visual styling.</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1.4.2 Audio Control</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vAlign w:val="top"/>
          </w:tcPr>
          <w:p>
            <w:pPr>
              <w:jc w:val="center"/>
            </w:pPr>
            <w:r>
              <w:rPr>
                <w:rFonts w:ascii="Arial" w:cs="Arial" w:eastAsia="Arial" w:hAnsi="Arial"/>
                <w:b/>
                <w:bCs/>
                <w:color w:val="666666"/>
                <w:sz w:val="18"/>
                <w:szCs w:val="18"/>
              </w:rPr>
              <w:t xml:space="preserve">Not Applicable</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No audio plays automatically on any page. The video requires user interaction to play.</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2.1.1 Keyboard</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All interactive elements (navigation links, buttons, form fields, checkboxes, dropdowns, the skip-to-content link) are reachable and operable via keyboard. The Enter key activates links and buttons; Space toggles checkboxes.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2.1.2 No Keyboard Trap</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No keyboard traps exist on any page. Users can navigate into and out of all interactive components using the keyboard.</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2.2.1 Timing Adjustable</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vAlign w:val="top"/>
          </w:tcPr>
          <w:p>
            <w:pPr>
              <w:jc w:val="center"/>
            </w:pPr>
            <w:r>
              <w:rPr>
                <w:rFonts w:ascii="Arial" w:cs="Arial" w:eastAsia="Arial" w:hAnsi="Arial"/>
                <w:b/>
                <w:bCs/>
                <w:color w:val="666666"/>
                <w:sz w:val="18"/>
                <w:szCs w:val="18"/>
              </w:rPr>
              <w:t xml:space="preserve">Not Applicable</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No time limits are set by the site.</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2.2.2 Pause, Stop, Hide</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vAlign w:val="top"/>
          </w:tcPr>
          <w:p>
            <w:pPr>
              <w:jc w:val="center"/>
            </w:pPr>
            <w:r>
              <w:rPr>
                <w:rFonts w:ascii="Arial" w:cs="Arial" w:eastAsia="Arial" w:hAnsi="Arial"/>
                <w:b/>
                <w:bCs/>
                <w:color w:val="666666"/>
                <w:sz w:val="18"/>
                <w:szCs w:val="18"/>
              </w:rPr>
              <w:t xml:space="preserve">Not Applicable</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No auto-moving, blinking, or scrolling content is present.</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2.3.1 Three Flashes or Below Threshold</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No flashing content is present on the site.</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2.4.1 Bypass Blocks</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A "Skip to content" link is present in the page source and becomes visible on keyboard focus, allowing keyboard users to bypass the navigation and go directly to the main content area.</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2.4.2 Page Titled</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Each page has a unique, descriptive &lt;title&gt; element. Examples: "Home - DEFENT | City of Los Angeles Free Test Device Portal"; "Order Checkout - DEFENT | City of Los Angeles Free Test Device Portal".</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2.4.3 Focus Order</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Focus order across all pages follows a logical sequence consistent with the meaning and operability of the content.</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2.4.4 Link Purpose (In Context)</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Links are descriptively labeled. CTAs use specific text ("Claim Your Free Devices") and form links use descriptive labels. The previously identified duplicate navigation link issue has been resolved.</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2.5.1 Pointer Gestures</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No multipoint or path-based gestures are required for any functionality.</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2.5.2 Pointer Cancellation</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All click/tap actions are triggered on the up-event and can be cancelled by moving the pointer off the element before release.</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2.5.3 Label in Name</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Visible labels for interactive components match or contain the programmatic accessible name.</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2.5.4 Motion Actuation</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vAlign w:val="top"/>
          </w:tcPr>
          <w:p>
            <w:pPr>
              <w:jc w:val="center"/>
            </w:pPr>
            <w:r>
              <w:rPr>
                <w:rFonts w:ascii="Arial" w:cs="Arial" w:eastAsia="Arial" w:hAnsi="Arial"/>
                <w:b/>
                <w:bCs/>
                <w:color w:val="666666"/>
                <w:sz w:val="18"/>
                <w:szCs w:val="18"/>
              </w:rPr>
              <w:t xml:space="preserve">Not Applicable</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No functionality is activated by device motion or user motion.</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3.1.1 Language of Page</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The HTML lang attribute is set to "en" (lang="en") on the primary page. Multilingual content on the checkout form (Spanish, Russian, Armenian, Chinese, Korean, Hebrew, Farsi, French, Portuguese) is marked with appropriate lang attributes for correct screen reader pronunciation.</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3.2.1 On Focus</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No context changes occur when any element receives focus.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3.2.2 On Input</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Changing form field values does not trigger unexpected context changes. The Country/Region dropdown refreshes the State field as expected behavior and is clearly communicated.</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3.3.1 Error Identification</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Form validation errors identify the field in error and describe the nature of the error. Error messages are announced through accessible live regions for screen reader users.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3.3.2 Labels or Instructions</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All form fields have clear visible labels. Required fields are marked with an asterisk and the page-level note "* indicates a required field" appears at the top of the checkout form. Optional fields are explicitly labeled "(optional)".</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4.1.1 Parsing</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HTML is valid and well-formed. No duplicate IDs or broken element nesting have been identified in structural review.</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4.1.2 Name, Role, Value</w:t>
            </w:r>
          </w:p>
          <w:p>
            <w:r>
              <w:rPr>
                <w:rFonts w:ascii="Arial" w:cs="Arial" w:eastAsia="Arial" w:hAnsi="Arial"/>
                <w:color w:val="777777"/>
                <w:sz w:val="16"/>
                <w:szCs w:val="16"/>
              </w:rPr>
              <w:t xml:space="preserve">Level 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Interactive elements have appropriate names, roles, and values exposed to assistive technology via semantic HTML and ARIA where needed. Checkboxes include associated labels; dropdowns include visible labels; buttons have descriptive text.</w:t>
            </w:r>
          </w:p>
        </w:tc>
      </w:tr>
    </w:tbl>
    <w:p>
      <w:pPr>
        <w:spacing w:after="0" w:before="120"/>
      </w:pPr>
      <w:r>
        <w:t xml:space="preserve"/>
      </w:r>
    </w:p>
    <w:p>
      <w:pPr>
        <w:pageBreakBefore/>
      </w:pPr>
      <w:r>
        <w:t xml:space="preserve"/>
      </w:r>
    </w:p>
    <w:p>
      <w:pPr>
        <w:pStyle w:val="Heading1"/>
        <w:pBdr>
          <w:bottom w:val="single" w:color="2E75B6" w:sz="6" w:space="4"/>
        </w:pBdr>
        <w:spacing w:after="120" w:before="360"/>
      </w:pPr>
      <w:r>
        <w:rPr>
          <w:rFonts w:ascii="Arial" w:cs="Arial" w:eastAsia="Arial" w:hAnsi="Arial"/>
          <w:b/>
          <w:bCs/>
          <w:color w:val="1B3A6B"/>
          <w:sz w:val="28"/>
          <w:szCs w:val="28"/>
        </w:rPr>
        <w:t xml:space="preserve">Section 2: WCAG 2.1 Level AA — Success Criteria</w:t>
      </w:r>
    </w:p>
    <w:p>
      <w:pPr>
        <w:spacing w:after="60" w:before="60"/>
      </w:pPr>
      <w:r>
        <w:rPr>
          <w:rFonts w:ascii="Arial" w:cs="Arial" w:eastAsia="Arial" w:hAnsi="Arial"/>
          <w:color w:val="444444"/>
          <w:sz w:val="20"/>
          <w:szCs w:val="20"/>
        </w:rPr>
        <w:t xml:space="preserve">The following table documents conformance with all applicable WCAG 2.1 Level AA success criteria.</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600"/>
        <w:gridCol w:w="5560"/>
      </w:tblGrid>
      <w:tr>
        <w:trPr>
          <w:tblHeader/>
        </w:trPr>
        <w:tc>
          <w:tcPr>
            <w:tcW w:type="dxa" w:w="220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Success Criterion</w:t>
            </w:r>
          </w:p>
        </w:tc>
        <w:tc>
          <w:tcPr>
            <w:tcW w:type="dxa" w:w="160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Conformance Level</w:t>
            </w:r>
          </w:p>
        </w:tc>
        <w:tc>
          <w:tcPr>
            <w:tcW w:type="dxa" w:w="556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Remarks and Explanations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1.2.4 Captions (Live)</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F2F2F2" w:val="clear"/>
            <w:tcMar>
              <w:top w:type="dxa" w:w="80"/>
              <w:left w:type="dxa" w:w="120"/>
              <w:bottom w:type="dxa" w:w="80"/>
              <w:right w:type="dxa" w:w="120"/>
            </w:tcMar>
            <w:vAlign w:val="top"/>
          </w:tcPr>
          <w:p>
            <w:pPr>
              <w:jc w:val="center"/>
            </w:pPr>
            <w:r>
              <w:rPr>
                <w:rFonts w:ascii="Arial" w:cs="Arial" w:eastAsia="Arial" w:hAnsi="Arial"/>
                <w:b/>
                <w:bCs/>
                <w:color w:val="666666"/>
                <w:sz w:val="18"/>
                <w:szCs w:val="18"/>
              </w:rPr>
              <w:t xml:space="preserve">Not Applicable</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No live audio or video content is streamed on the site.</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1.2.5 Audio Description (Prerecorded)</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FFF2CC" w:val="clear"/>
            <w:tcMar>
              <w:top w:type="dxa" w:w="80"/>
              <w:left w:type="dxa" w:w="120"/>
              <w:bottom w:type="dxa" w:w="80"/>
              <w:right w:type="dxa" w:w="120"/>
            </w:tcMar>
            <w:vAlign w:val="top"/>
          </w:tcPr>
          <w:p>
            <w:pPr>
              <w:jc w:val="center"/>
            </w:pPr>
            <w:r>
              <w:rPr>
                <w:rFonts w:ascii="Arial" w:cs="Arial" w:eastAsia="Arial" w:hAnsi="Arial"/>
                <w:b/>
                <w:bCs/>
                <w:color w:val="7D6608"/>
                <w:sz w:val="18"/>
                <w:szCs w:val="18"/>
              </w:rPr>
              <w:t xml:space="preserve">Partially 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Audio description is not available for the home page video. A text transcript is in development. Captions and audio description are targeted for completion by June 2026.</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1.3.4 Orientation</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Content is not locked to any specific orientation. The site renders correctly and functionally in both portrait and landscape modes.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1.3.5 Identify Input Purpose</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Checkout form fields use standard HTML autocomplete attributes (given-name, family-name, email, address-line1, address-line2, postal-code, tel) to support autofill and assistive technology. The ZIP code field is a free-text input field compatible with autofill.</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1.4.3 Contrast (Minimum)</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Text and interactive elements meet the WCAG AA minimum contrast ratio of 4.5:1 for normal text and 3:1 for large text. The hero section background image uses a sufficient overlay to maintain text contrast. Verified using WebAIM Contrast Checker and Stark.</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1.4.4 Resize Text</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Text resizes up to 200% without loss of content or functionality using browser zoom. The site is built with responsive, fluid typography that reflows correctly at all tested zoom levels.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1.4.5 Images of Text</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No images of text are used for informational content. All text is rendered as HTML text.</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1.4.10 Reflow</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Content reflows at 320px viewport width (equivalent to 400% zoom on a 1280px screen) without horizontal scrolling. Single-column layout is maintained for all pages at mobile sizes.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1.4.11 Non-text Contrast</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Form field borders, focus indicators, and UI controls meet the 3:1 contrast ratio against adjacent colors.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1.4.12 Text Spacing</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No loss of content or functionality occurs when text spacing is adjusted per WCAG requirements (line height 1.5x, paragraph spacing 2x, letter spacing 0.12em, word spacing 0.16em).</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1.4.13 Content on Hover or Focus</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No hover-triggered content is present that cannot be dismissed or that obscures other content.</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2.4.5 Multiple Ways</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Users can navigate between pages via the site navigation menu and via in-content links. The Accessibility Statement and Privacy Policy are linked from the footer on all pages.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2.4.6 Headings and Labels</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Pages use a clear heading hierarchy (H1 &gt; H2 &gt; H3). Form sections are labeled with descriptive headings. The previously reported duplicate navigation entries have been resolved.</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2.4.7 Focus Visible</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Keyboard focus indicators are clearly visible on all interactive elements including links, buttons, form fields, checkboxes, and radio buttons. Focus styles meet the minimum 3:1 contrast requirement.</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3.1.2 Language of Parts</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Multilingual text in the household language selection field is marked with correct lang attributes, enabling screen readers to pronounce non-English text correctly.</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3.2.3 Consistent Navigation</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The navigation menu appears in the same location and order across all pages. Footer links (Privacy Policy, Accessibility Statement) are consistent across pages.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3.2.4 Consistent Identification</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Components with the same functionality are identified consistently across pages. The DEFENT logo links to the homepage on all pages.</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3.3.3 Error Suggestion</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When form validation errors are detected, error messages provide specific guidance on how to correct the input (e.g., specifying which field failed and what format is expected).</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3.3.4 Error Prevention (Legal, Financial, Data)</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The checkout form includes an explicit consent checkbox requiring users to confirm eligibility before submitting. The form can be reviewed before submission and users must actively confirm their attestation.</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b/>
                <w:bCs/>
                <w:color w:val="1B3A6B"/>
                <w:sz w:val="18"/>
                <w:szCs w:val="18"/>
              </w:rPr>
              <w:t xml:space="preserve">4.1.3 Status Messages</w:t>
            </w:r>
          </w:p>
          <w:p>
            <w:r>
              <w:rPr>
                <w:rFonts w:ascii="Arial" w:cs="Arial" w:eastAsia="Arial" w:hAnsi="Arial"/>
                <w:color w:val="777777"/>
                <w:sz w:val="16"/>
                <w:szCs w:val="16"/>
              </w:rPr>
              <w:t xml:space="preserve">Level AA</w:t>
            </w:r>
          </w:p>
        </w:tc>
        <w:tc>
          <w:tcPr>
            <w:tcW w:type="dxa" w:w="1600"/>
            <w:tcBorders>
              <w:top w:val="single" w:color="BBBBBB" w:sz="4"/>
              <w:left w:val="single" w:color="BBBBBB" w:sz="4"/>
              <w:bottom w:val="single" w:color="BBBBBB" w:sz="4"/>
              <w:right w:val="single" w:color="BBBBBB" w:sz="4"/>
            </w:tcBorders>
            <w:shd w:fill="E2EFDA" w:val="clear"/>
            <w:tcMar>
              <w:top w:type="dxa" w:w="80"/>
              <w:left w:type="dxa" w:w="120"/>
              <w:bottom w:type="dxa" w:w="80"/>
              <w:right w:type="dxa" w:w="120"/>
            </w:tcMar>
            <w:vAlign w:val="top"/>
          </w:tcPr>
          <w:p>
            <w:pPr>
              <w:jc w:val="center"/>
            </w:pPr>
            <w:r>
              <w:rPr>
                <w:rFonts w:ascii="Arial" w:cs="Arial" w:eastAsia="Arial" w:hAnsi="Arial"/>
                <w:b/>
                <w:bCs/>
                <w:color w:val="375623"/>
                <w:sz w:val="18"/>
                <w:szCs w:val="18"/>
              </w:rPr>
              <w:t xml:space="preserve">Supports</w:t>
            </w:r>
          </w:p>
        </w:tc>
        <w:tc>
          <w:tcPr>
            <w:tcW w:type="dxa" w:w="556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vAlign w:val="top"/>
          </w:tcPr>
          <w:p>
            <w:r>
              <w:rPr>
                <w:rFonts w:ascii="Arial" w:cs="Arial" w:eastAsia="Arial" w:hAnsi="Arial"/>
                <w:color w:val="444444"/>
                <w:sz w:val="18"/>
                <w:szCs w:val="18"/>
              </w:rPr>
              <w:t xml:space="preserve">Status messages (form submission confirmations, error summaries) are conveyed to assistive technology without requiring focus, using ARIA live regions.</w:t>
            </w:r>
          </w:p>
        </w:tc>
      </w:tr>
    </w:tbl>
    <w:p>
      <w:pPr>
        <w:spacing w:after="0" w:before="120"/>
      </w:pPr>
      <w:r>
        <w:t xml:space="preserve"/>
      </w:r>
    </w:p>
    <w:p>
      <w:pPr>
        <w:pageBreakBefore/>
      </w:pPr>
      <w:r>
        <w:t xml:space="preserve"/>
      </w:r>
    </w:p>
    <w:p>
      <w:pPr>
        <w:pStyle w:val="Heading1"/>
        <w:pBdr>
          <w:bottom w:val="single" w:color="2E75B6" w:sz="6" w:space="4"/>
        </w:pBdr>
        <w:spacing w:after="120" w:before="360"/>
      </w:pPr>
      <w:r>
        <w:rPr>
          <w:rFonts w:ascii="Arial" w:cs="Arial" w:eastAsia="Arial" w:hAnsi="Arial"/>
          <w:b/>
          <w:bCs/>
          <w:color w:val="1B3A6B"/>
          <w:sz w:val="28"/>
          <w:szCs w:val="28"/>
        </w:rPr>
        <w:t xml:space="preserve">Known Limitations and Remediation Plan</w:t>
      </w:r>
    </w:p>
    <w:p>
      <w:pPr>
        <w:spacing w:after="60" w:before="60"/>
      </w:pPr>
      <w:r>
        <w:rPr>
          <w:rFonts w:ascii="Arial" w:cs="Arial" w:eastAsia="Arial" w:hAnsi="Arial"/>
          <w:color w:val="444444"/>
          <w:sz w:val="20"/>
          <w:szCs w:val="20"/>
        </w:rPr>
        <w:t xml:space="preserve">The following known limitations have been identified as of the report date. All items are actively tracked and being remediated.</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800"/>
        <w:gridCol w:w="2760"/>
        <w:gridCol w:w="2600"/>
      </w:tblGrid>
      <w:tr>
        <w:trPr>
          <w:tblHeader/>
        </w:trPr>
        <w:tc>
          <w:tcPr>
            <w:tcW w:type="dxa" w:w="220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Issue</w:t>
            </w:r>
          </w:p>
        </w:tc>
        <w:tc>
          <w:tcPr>
            <w:tcW w:type="dxa" w:w="180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WCAG Criterion</w:t>
            </w:r>
          </w:p>
        </w:tc>
        <w:tc>
          <w:tcPr>
            <w:tcW w:type="dxa" w:w="276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Impact</w:t>
            </w:r>
          </w:p>
        </w:tc>
        <w:tc>
          <w:tcPr>
            <w:tcW w:type="dxa" w:w="2600"/>
            <w:tcBorders>
              <w:top w:val="single" w:color="BBBBBB" w:sz="4"/>
              <w:left w:val="single" w:color="BBBBBB" w:sz="4"/>
              <w:bottom w:val="single" w:color="BBBBBB" w:sz="4"/>
              <w:right w:val="single" w:color="BBBBBB" w:sz="4"/>
            </w:tcBorders>
            <w:shd w:fill="1B3A6B" w:val="clear"/>
            <w:tcMar>
              <w:top w:type="dxa" w:w="100"/>
              <w:left w:type="dxa" w:w="120"/>
              <w:bottom w:type="dxa" w:w="100"/>
              <w:right w:type="dxa" w:w="120"/>
            </w:tcMar>
          </w:tcPr>
          <w:p>
            <w:r>
              <w:rPr>
                <w:rFonts w:ascii="Arial" w:cs="Arial" w:eastAsia="Arial" w:hAnsi="Arial"/>
                <w:b/>
                <w:bCs/>
                <w:color w:val="FFFFFF"/>
                <w:sz w:val="18"/>
                <w:szCs w:val="18"/>
              </w:rPr>
              <w:t xml:space="preserve">Target Resolution</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Facebook tracking pixel has alt="fbpx" instead of alt=""</w:t>
            </w:r>
          </w:p>
        </w:tc>
        <w:tc>
          <w:tcPr>
            <w:tcW w:type="dxa" w:w="18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1.1.1 (Level A)</w:t>
            </w:r>
          </w:p>
        </w:tc>
        <w:tc>
          <w:tcPr>
            <w:tcW w:type="dxa" w:w="2760"/>
            <w:tcBorders>
              <w:top w:val="single" w:color="BBBBBB" w:sz="4"/>
              <w:left w:val="single" w:color="BBBBBB" w:sz="4"/>
              <w:bottom w:val="single" w:color="BBBBBB" w:sz="4"/>
              <w:right w:val="single" w:color="BBBBBB" w:sz="4"/>
            </w:tcBorders>
            <w:shd w:fill="FFF2CC" w:val="clear"/>
            <w:tcMar>
              <w:top w:type="dxa" w:w="80"/>
              <w:left w:type="dxa" w:w="120"/>
              <w:bottom w:type="dxa" w:w="80"/>
              <w:right w:type="dxa" w:w="120"/>
            </w:tcMar>
          </w:tcPr>
          <w:p>
            <w:r>
              <w:rPr>
                <w:rFonts w:ascii="Arial" w:cs="Arial" w:eastAsia="Arial" w:hAnsi="Arial"/>
                <w:color w:val="444444"/>
                <w:sz w:val="18"/>
                <w:szCs w:val="18"/>
              </w:rPr>
              <w:t xml:space="preserve">Minor — screen readers announce "fbpx" as a word; does not block access to any functionality</w:t>
            </w:r>
          </w:p>
        </w:tc>
        <w:tc>
          <w:tcPr>
            <w:tcW w:type="dxa" w:w="26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May 2026 (trivial fix)</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Home page video lacks captions and visible transcript</w:t>
            </w:r>
          </w:p>
        </w:tc>
        <w:tc>
          <w:tcPr>
            <w:tcW w:type="dxa" w:w="18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1.2.2, 1.2.5 (Level A/AA)</w:t>
            </w:r>
          </w:p>
        </w:tc>
        <w:tc>
          <w:tcPr>
            <w:tcW w:type="dxa" w:w="2760"/>
            <w:tcBorders>
              <w:top w:val="single" w:color="BBBBBB" w:sz="4"/>
              <w:left w:val="single" w:color="BBBBBB" w:sz="4"/>
              <w:bottom w:val="single" w:color="BBBBBB" w:sz="4"/>
              <w:right w:val="single" w:color="BBBBBB" w:sz="4"/>
            </w:tcBorders>
            <w:shd w:fill="FFF2CC" w:val="clear"/>
            <w:tcMar>
              <w:top w:type="dxa" w:w="80"/>
              <w:left w:type="dxa" w:w="120"/>
              <w:bottom w:type="dxa" w:w="80"/>
              <w:right w:type="dxa" w:w="120"/>
            </w:tcMar>
          </w:tcPr>
          <w:p>
            <w:r>
              <w:rPr>
                <w:rFonts w:ascii="Arial" w:cs="Arial" w:eastAsia="Arial" w:hAnsi="Arial"/>
                <w:color w:val="444444"/>
                <w:sz w:val="18"/>
                <w:szCs w:val="18"/>
              </w:rPr>
              <w:t xml:space="preserve">Moderate — Deaf/HoH users cannot access video content. All product information is also present in surrounding page text.</w:t>
            </w:r>
          </w:p>
        </w:tc>
        <w:tc>
          <w:tcPr>
            <w:tcW w:type="dxa" w:w="26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June 2026</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Local Pickup page shows location as an image rather than HTML text</w:t>
            </w:r>
          </w:p>
        </w:tc>
        <w:tc>
          <w:tcPr>
            <w:tcW w:type="dxa" w:w="18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1.1.1 (Level A)</w:t>
            </w:r>
          </w:p>
        </w:tc>
        <w:tc>
          <w:tcPr>
            <w:tcW w:type="dxa" w:w="2760"/>
            <w:tcBorders>
              <w:top w:val="single" w:color="BBBBBB" w:sz="4"/>
              <w:left w:val="single" w:color="BBBBBB" w:sz="4"/>
              <w:bottom w:val="single" w:color="BBBBBB" w:sz="4"/>
              <w:right w:val="single" w:color="BBBBBB" w:sz="4"/>
            </w:tcBorders>
            <w:shd w:fill="FFF2CC" w:val="clear"/>
            <w:tcMar>
              <w:top w:type="dxa" w:w="80"/>
              <w:left w:type="dxa" w:w="120"/>
              <w:bottom w:type="dxa" w:w="80"/>
              <w:right w:type="dxa" w:w="120"/>
            </w:tcMar>
          </w:tcPr>
          <w:p>
            <w:r>
              <w:rPr>
                <w:rFonts w:ascii="Arial" w:cs="Arial" w:eastAsia="Arial" w:hAnsi="Arial"/>
                <w:color w:val="444444"/>
                <w:sz w:val="18"/>
                <w:szCs w:val="18"/>
              </w:rPr>
              <w:t xml:space="preserve">Moderate — users who cannot view images cannot access pickup location. Workaround: email support@defent.com for location details.</w:t>
            </w:r>
          </w:p>
        </w:tc>
        <w:tc>
          <w:tcPr>
            <w:tcW w:type="dxa" w:w="26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June 2026</w:t>
            </w:r>
          </w:p>
        </w:tc>
      </w:tr>
      <w:tr>
        <w:tc>
          <w:tcPr>
            <w:tcW w:type="dxa" w:w="22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Third-party language translation widget may not fully conform</w:t>
            </w:r>
          </w:p>
        </w:tc>
        <w:tc>
          <w:tcPr>
            <w:tcW w:type="dxa" w:w="18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Multiple (third-party)</w:t>
            </w:r>
          </w:p>
        </w:tc>
        <w:tc>
          <w:tcPr>
            <w:tcW w:type="dxa" w:w="2760"/>
            <w:tcBorders>
              <w:top w:val="single" w:color="BBBBBB" w:sz="4"/>
              <w:left w:val="single" w:color="BBBBBB" w:sz="4"/>
              <w:bottom w:val="single" w:color="BBBBBB" w:sz="4"/>
              <w:right w:val="single" w:color="BBBBBB" w:sz="4"/>
            </w:tcBorders>
            <w:shd w:fill="FFF2CC" w:val="clear"/>
            <w:tcMar>
              <w:top w:type="dxa" w:w="80"/>
              <w:left w:type="dxa" w:w="120"/>
              <w:bottom w:type="dxa" w:w="80"/>
              <w:right w:type="dxa" w:w="120"/>
            </w:tcMar>
          </w:tcPr>
          <w:p>
            <w:r>
              <w:rPr>
                <w:rFonts w:ascii="Arial" w:cs="Arial" w:eastAsia="Arial" w:hAnsi="Arial"/>
                <w:color w:val="444444"/>
                <w:sz w:val="18"/>
                <w:szCs w:val="18"/>
              </w:rPr>
              <w:t xml:space="preserve">Low — widget is supplemental to native multilingual content already available on-page.</w:t>
            </w:r>
          </w:p>
        </w:tc>
        <w:tc>
          <w:tcPr>
            <w:tcW w:type="dxa" w:w="2600"/>
            <w:tcBorders>
              <w:top w:val="single" w:color="BBBBBB" w:sz="4"/>
              <w:left w:val="single" w:color="BBBBBB" w:sz="4"/>
              <w:bottom w:val="single" w:color="BBBBBB" w:sz="4"/>
              <w:right w:val="single" w:color="BBBBBB" w:sz="4"/>
            </w:tcBorders>
            <w:shd w:fill="FFFFFF" w:val="clear"/>
            <w:tcMar>
              <w:top w:type="dxa" w:w="80"/>
              <w:left w:type="dxa" w:w="120"/>
              <w:bottom w:type="dxa" w:w="80"/>
              <w:right w:type="dxa" w:w="120"/>
            </w:tcMar>
          </w:tcPr>
          <w:p>
            <w:r>
              <w:rPr>
                <w:rFonts w:ascii="Arial" w:cs="Arial" w:eastAsia="Arial" w:hAnsi="Arial"/>
                <w:color w:val="444444"/>
                <w:sz w:val="18"/>
                <w:szCs w:val="18"/>
              </w:rPr>
              <w:t xml:space="preserve">Evaluating accessible alternatives — Q3 2026</w:t>
            </w:r>
          </w:p>
        </w:tc>
      </w:tr>
    </w:tbl>
    <w:p>
      <w:pPr>
        <w:spacing w:after="0" w:before="120"/>
      </w:pPr>
      <w:r>
        <w:t xml:space="preserve"/>
      </w:r>
    </w:p>
    <w:p>
      <w:pPr>
        <w:pageBreakBefore/>
      </w:pPr>
      <w:r>
        <w:t xml:space="preserve"/>
      </w:r>
    </w:p>
    <w:p>
      <w:pPr>
        <w:pStyle w:val="Heading1"/>
        <w:pBdr>
          <w:bottom w:val="single" w:color="2E75B6" w:sz="6" w:space="4"/>
        </w:pBdr>
        <w:spacing w:after="120" w:before="360"/>
      </w:pPr>
      <w:r>
        <w:rPr>
          <w:rFonts w:ascii="Arial" w:cs="Arial" w:eastAsia="Arial" w:hAnsi="Arial"/>
          <w:b/>
          <w:bCs/>
          <w:color w:val="1B3A6B"/>
          <w:sz w:val="28"/>
          <w:szCs w:val="28"/>
        </w:rPr>
        <w:t xml:space="preserve">Legal and Regulatory Compliance</w:t>
      </w:r>
    </w:p>
    <w:p>
      <w:pPr>
        <w:spacing w:after="60" w:before="60"/>
      </w:pPr>
      <w:r>
        <w:rPr>
          <w:rFonts w:ascii="Arial" w:cs="Arial" w:eastAsia="Arial" w:hAnsi="Arial"/>
          <w:color w:val="444444"/>
          <w:sz w:val="20"/>
          <w:szCs w:val="20"/>
        </w:rPr>
        <w:t xml:space="preserve">defentla.com is operated in support of a City of Los Angeles public health initiative and is subject to the following legal frameworks:</w:t>
      </w:r>
    </w:p>
    <w:p>
      <w:pPr>
        <w:spacing w:after="0" w:before="80"/>
      </w:pPr>
      <w:r>
        <w:t xml:space="preserve"/>
      </w:r>
    </w:p>
    <w:p>
      <w:pPr>
        <w:pStyle w:val="ListParagraph"/>
        <w:numPr>
          <w:ilvl w:val="0"/>
          <w:numId w:val="3"/>
        </w:numPr>
        <w:spacing w:after="40" w:before="40"/>
      </w:pPr>
      <w:r>
        <w:rPr>
          <w:rFonts w:ascii="Arial" w:cs="Arial" w:eastAsia="Arial" w:hAnsi="Arial"/>
          <w:color w:val="444444"/>
          <w:sz w:val="20"/>
          <w:szCs w:val="20"/>
        </w:rPr>
        <w:t xml:space="preserve">Title II of the Americans with Disabilities Act (ADA) — prohibits discrimination on the basis of disability by public entities and programs receiving public funding</w:t>
      </w:r>
    </w:p>
    <w:p>
      <w:pPr>
        <w:pStyle w:val="ListParagraph"/>
        <w:numPr>
          <w:ilvl w:val="0"/>
          <w:numId w:val="3"/>
        </w:numPr>
        <w:spacing w:after="40" w:before="40"/>
      </w:pPr>
      <w:r>
        <w:rPr>
          <w:rFonts w:ascii="Arial" w:cs="Arial" w:eastAsia="Arial" w:hAnsi="Arial"/>
          <w:color w:val="444444"/>
          <w:sz w:val="20"/>
          <w:szCs w:val="20"/>
        </w:rPr>
        <w:t xml:space="preserve">Section 508 of the Rehabilitation Act — requires electronic and information technology procured or developed with federal funding to be accessible</w:t>
      </w:r>
    </w:p>
    <w:p>
      <w:pPr>
        <w:pStyle w:val="ListParagraph"/>
        <w:numPr>
          <w:ilvl w:val="0"/>
          <w:numId w:val="3"/>
        </w:numPr>
        <w:spacing w:after="40" w:before="40"/>
      </w:pPr>
      <w:r>
        <w:rPr>
          <w:rFonts w:ascii="Arial" w:cs="Arial" w:eastAsia="Arial" w:hAnsi="Arial"/>
          <w:color w:val="444444"/>
          <w:sz w:val="20"/>
          <w:szCs w:val="20"/>
        </w:rPr>
        <w:t xml:space="preserve">City of Los Angeles Accessibility Procurement Policy — requires WCAG 2.1 AA conformance for City-funded digital products and services</w:t>
      </w:r>
    </w:p>
    <w:p>
      <w:pPr>
        <w:pStyle w:val="ListParagraph"/>
        <w:numPr>
          <w:ilvl w:val="0"/>
          <w:numId w:val="3"/>
        </w:numPr>
        <w:spacing w:after="40" w:before="40"/>
      </w:pPr>
      <w:r>
        <w:rPr>
          <w:rFonts w:ascii="Arial" w:cs="Arial" w:eastAsia="Arial" w:hAnsi="Arial"/>
          <w:color w:val="444444"/>
          <w:sz w:val="20"/>
          <w:szCs w:val="20"/>
        </w:rPr>
        <w:t xml:space="preserve">WCAG 2.1 Level AA — the internationally recognized accessibility standard referenced by all of the above</w:t>
      </w:r>
    </w:p>
    <w:p>
      <w:pPr>
        <w:spacing w:after="0" w:before="120"/>
      </w:pPr>
      <w:r>
        <w:t xml:space="preserve"/>
      </w:r>
    </w:p>
    <w:p>
      <w:pPr>
        <w:pStyle w:val="Heading1"/>
        <w:pBdr>
          <w:bottom w:val="single" w:color="2E75B6" w:sz="6" w:space="4"/>
        </w:pBdr>
        <w:spacing w:after="120" w:before="360"/>
      </w:pPr>
      <w:r>
        <w:rPr>
          <w:rFonts w:ascii="Arial" w:cs="Arial" w:eastAsia="Arial" w:hAnsi="Arial"/>
          <w:b/>
          <w:bCs/>
          <w:color w:val="1B3A6B"/>
          <w:sz w:val="28"/>
          <w:szCs w:val="28"/>
        </w:rPr>
        <w:t xml:space="preserve">Accessibility Feedback and Contact</w:t>
      </w:r>
    </w:p>
    <w:p>
      <w:pPr>
        <w:spacing w:after="60" w:before="60"/>
      </w:pPr>
      <w:r>
        <w:rPr>
          <w:rFonts w:ascii="Arial" w:cs="Arial" w:eastAsia="Arial" w:hAnsi="Arial"/>
          <w:color w:val="444444"/>
          <w:sz w:val="20"/>
          <w:szCs w:val="20"/>
        </w:rPr>
        <w:t xml:space="preserve">Defense Diagnostics is committed to maintaining and improving the accessibility of defentla.com. If you encounter an accessibility barrier or wish to provide feedback, please contact us:</w:t>
      </w:r>
    </w:p>
    <w:p>
      <w:pPr>
        <w:spacing w:after="0" w:before="80"/>
      </w:pPr>
      <w:r>
        <w:t xml:space="preserve"/>
      </w:r>
    </w:p>
    <w:p>
      <w:pPr>
        <w:spacing w:after="40" w:before="40"/>
      </w:pPr>
      <w:r>
        <w:rPr>
          <w:rFonts w:ascii="Arial" w:cs="Arial" w:eastAsia="Arial" w:hAnsi="Arial"/>
          <w:b/>
          <w:bCs/>
          <w:color w:val="1B3A6B"/>
          <w:sz w:val="20"/>
          <w:szCs w:val="20"/>
        </w:rPr>
        <w:t xml:space="preserve">Email: </w:t>
      </w:r>
      <w:r>
        <w:rPr>
          <w:rFonts w:ascii="Arial" w:cs="Arial" w:eastAsia="Arial" w:hAnsi="Arial"/>
          <w:color w:val="444444"/>
          <w:sz w:val="20"/>
          <w:szCs w:val="20"/>
        </w:rPr>
        <w:t xml:space="preserve">support@defent.com (use subject line: Accessibility Feedback)</w:t>
      </w:r>
    </w:p>
    <w:p>
      <w:pPr>
        <w:spacing w:after="40" w:before="40"/>
      </w:pPr>
      <w:r>
        <w:rPr>
          <w:rFonts w:ascii="Arial" w:cs="Arial" w:eastAsia="Arial" w:hAnsi="Arial"/>
          <w:b/>
          <w:bCs/>
          <w:color w:val="1B3A6B"/>
          <w:sz w:val="20"/>
          <w:szCs w:val="20"/>
        </w:rPr>
        <w:t xml:space="preserve">Response Time: </w:t>
      </w:r>
      <w:r>
        <w:rPr>
          <w:rFonts w:ascii="Arial" w:cs="Arial" w:eastAsia="Arial" w:hAnsi="Arial"/>
          <w:color w:val="444444"/>
          <w:sz w:val="20"/>
          <w:szCs w:val="20"/>
        </w:rPr>
        <w:t xml:space="preserve">We aim to respond to accessibility reports within 5 business days</w:t>
      </w:r>
    </w:p>
    <w:p>
      <w:pPr>
        <w:spacing w:after="40" w:before="40"/>
      </w:pPr>
      <w:r>
        <w:rPr>
          <w:rFonts w:ascii="Arial" w:cs="Arial" w:eastAsia="Arial" w:hAnsi="Arial"/>
          <w:b/>
          <w:bCs/>
          <w:color w:val="1B3A6B"/>
          <w:sz w:val="20"/>
          <w:szCs w:val="20"/>
        </w:rPr>
        <w:t xml:space="preserve">Resolution Target: </w:t>
      </w:r>
      <w:r>
        <w:rPr>
          <w:rFonts w:ascii="Arial" w:cs="Arial" w:eastAsia="Arial" w:hAnsi="Arial"/>
          <w:color w:val="444444"/>
          <w:sz w:val="20"/>
          <w:szCs w:val="20"/>
        </w:rPr>
        <w:t xml:space="preserve">Documented barriers addressed within 30 days when feasible; workarounds provided for complex issues</w:t>
      </w:r>
    </w:p>
    <w:p>
      <w:pPr>
        <w:spacing w:after="40" w:before="40"/>
      </w:pPr>
      <w:r>
        <w:rPr>
          <w:rFonts w:ascii="Arial" w:cs="Arial" w:eastAsia="Arial" w:hAnsi="Arial"/>
          <w:b/>
          <w:bCs/>
          <w:color w:val="1B3A6B"/>
          <w:sz w:val="20"/>
          <w:szCs w:val="20"/>
        </w:rPr>
        <w:t xml:space="preserve">Accessibility Statement: </w:t>
      </w:r>
      <w:r>
        <w:rPr>
          <w:rFonts w:ascii="Arial" w:cs="Arial" w:eastAsia="Arial" w:hAnsi="Arial"/>
          <w:color w:val="444444"/>
          <w:sz w:val="20"/>
          <w:szCs w:val="20"/>
        </w:rPr>
        <w:t xml:space="preserve">https://defentla.com/accessibility-statement/</w:t>
      </w:r>
    </w:p>
    <w:p>
      <w:pPr>
        <w:spacing w:after="0" w:before="120"/>
      </w:pPr>
      <w:r>
        <w:t xml:space="preserve"/>
      </w:r>
    </w:p>
    <w:p>
      <w:pPr>
        <w:pStyle w:val="Heading1"/>
        <w:pBdr>
          <w:bottom w:val="single" w:color="2E75B6" w:sz="6" w:space="4"/>
        </w:pBdr>
        <w:spacing w:after="120" w:before="360"/>
      </w:pPr>
      <w:r>
        <w:rPr>
          <w:rFonts w:ascii="Arial" w:cs="Arial" w:eastAsia="Arial" w:hAnsi="Arial"/>
          <w:b/>
          <w:bCs/>
          <w:color w:val="1B3A6B"/>
          <w:sz w:val="28"/>
          <w:szCs w:val="28"/>
        </w:rPr>
        <w:t xml:space="preserve">Formal Complaint Contacts</w:t>
      </w:r>
    </w:p>
    <w:p>
      <w:pPr>
        <w:spacing w:after="40" w:before="40"/>
      </w:pPr>
      <w:r>
        <w:rPr>
          <w:rFonts w:ascii="Arial" w:cs="Arial" w:eastAsia="Arial" w:hAnsi="Arial"/>
          <w:b/>
          <w:bCs/>
          <w:color w:val="1B3A6B"/>
          <w:sz w:val="20"/>
          <w:szCs w:val="20"/>
        </w:rPr>
        <w:t xml:space="preserve">City of Los Angeles — Department on Disability: </w:t>
      </w:r>
      <w:r>
        <w:rPr>
          <w:rFonts w:ascii="Arial" w:cs="Arial" w:eastAsia="Arial" w:hAnsi="Arial"/>
          <w:color w:val="444444"/>
          <w:sz w:val="20"/>
          <w:szCs w:val="20"/>
        </w:rPr>
        <w:t xml:space="preserve">200 N. Spring Street, Room 1750, Los Angeles, CA 90012 | (213) 202-2764</w:t>
      </w:r>
    </w:p>
    <w:p>
      <w:pPr>
        <w:spacing w:after="40" w:before="40"/>
      </w:pPr>
      <w:r>
        <w:rPr>
          <w:rFonts w:ascii="Arial" w:cs="Arial" w:eastAsia="Arial" w:hAnsi="Arial"/>
          <w:b/>
          <w:bCs/>
          <w:color w:val="1B3A6B"/>
          <w:sz w:val="20"/>
          <w:szCs w:val="20"/>
        </w:rPr>
        <w:t xml:space="preserve">U.S. Department of Justice: </w:t>
      </w:r>
      <w:r>
        <w:rPr>
          <w:rFonts w:ascii="Arial" w:cs="Arial" w:eastAsia="Arial" w:hAnsi="Arial"/>
          <w:color w:val="444444"/>
          <w:sz w:val="20"/>
          <w:szCs w:val="20"/>
        </w:rPr>
        <w:t xml:space="preserve">File an ADA complaint at ada.gov/file-a-complaint/</w:t>
      </w:r>
    </w:p>
    <w:p>
      <w:pPr>
        <w:spacing w:after="0" w:before="120"/>
      </w:pPr>
      <w:r>
        <w:t xml:space="preserve"/>
      </w:r>
    </w:p>
    <w:p>
      <w:pPr>
        <w:pStyle w:val="Heading1"/>
        <w:pBdr>
          <w:bottom w:val="single" w:color="2E75B6" w:sz="6" w:space="4"/>
        </w:pBdr>
        <w:spacing w:after="120" w:before="360"/>
      </w:pPr>
      <w:r>
        <w:rPr>
          <w:rFonts w:ascii="Arial" w:cs="Arial" w:eastAsia="Arial" w:hAnsi="Arial"/>
          <w:b/>
          <w:bCs/>
          <w:color w:val="1B3A6B"/>
          <w:sz w:val="28"/>
          <w:szCs w:val="28"/>
        </w:rPr>
        <w:t xml:space="preserve">Statement Details</w:t>
      </w:r>
    </w:p>
    <w:p>
      <w:pPr>
        <w:spacing w:after="40" w:before="40"/>
      </w:pPr>
      <w:r>
        <w:rPr>
          <w:rFonts w:ascii="Arial" w:cs="Arial" w:eastAsia="Arial" w:hAnsi="Arial"/>
          <w:b/>
          <w:bCs/>
          <w:color w:val="1B3A6B"/>
          <w:sz w:val="20"/>
          <w:szCs w:val="20"/>
        </w:rPr>
        <w:t xml:space="preserve">Effective Date: </w:t>
      </w:r>
      <w:r>
        <w:rPr>
          <w:rFonts w:ascii="Arial" w:cs="Arial" w:eastAsia="Arial" w:hAnsi="Arial"/>
          <w:color w:val="444444"/>
          <w:sz w:val="20"/>
          <w:szCs w:val="20"/>
        </w:rPr>
        <w:t xml:space="preserve">May 12, 2026</w:t>
      </w:r>
    </w:p>
    <w:p>
      <w:pPr>
        <w:spacing w:after="40" w:before="40"/>
      </w:pPr>
      <w:r>
        <w:rPr>
          <w:rFonts w:ascii="Arial" w:cs="Arial" w:eastAsia="Arial" w:hAnsi="Arial"/>
          <w:b/>
          <w:bCs/>
          <w:color w:val="1B3A6B"/>
          <w:sz w:val="20"/>
          <w:szCs w:val="20"/>
        </w:rPr>
        <w:t xml:space="preserve">Last Reviewed: </w:t>
      </w:r>
      <w:r>
        <w:rPr>
          <w:rFonts w:ascii="Arial" w:cs="Arial" w:eastAsia="Arial" w:hAnsi="Arial"/>
          <w:color w:val="444444"/>
          <w:sz w:val="20"/>
          <w:szCs w:val="20"/>
        </w:rPr>
        <w:t xml:space="preserve">May 12, 2026</w:t>
      </w:r>
    </w:p>
    <w:p>
      <w:pPr>
        <w:spacing w:after="40" w:before="40"/>
      </w:pPr>
      <w:r>
        <w:rPr>
          <w:rFonts w:ascii="Arial" w:cs="Arial" w:eastAsia="Arial" w:hAnsi="Arial"/>
          <w:b/>
          <w:bCs/>
          <w:color w:val="1B3A6B"/>
          <w:sz w:val="20"/>
          <w:szCs w:val="20"/>
        </w:rPr>
        <w:t xml:space="preserve">Next Scheduled Review: </w:t>
      </w:r>
      <w:r>
        <w:rPr>
          <w:rFonts w:ascii="Arial" w:cs="Arial" w:eastAsia="Arial" w:hAnsi="Arial"/>
          <w:color w:val="444444"/>
          <w:sz w:val="20"/>
          <w:szCs w:val="20"/>
        </w:rPr>
        <w:t xml:space="preserve">November 12, 2026</w:t>
      </w:r>
    </w:p>
    <w:p>
      <w:pPr>
        <w:spacing w:after="40" w:before="40"/>
      </w:pPr>
      <w:r>
        <w:rPr>
          <w:rFonts w:ascii="Arial" w:cs="Arial" w:eastAsia="Arial" w:hAnsi="Arial"/>
          <w:b/>
          <w:bCs/>
          <w:color w:val="1B3A6B"/>
          <w:sz w:val="20"/>
          <w:szCs w:val="20"/>
        </w:rPr>
        <w:t xml:space="preserve">Conformance Target: </w:t>
      </w:r>
      <w:r>
        <w:rPr>
          <w:rFonts w:ascii="Arial" w:cs="Arial" w:eastAsia="Arial" w:hAnsi="Arial"/>
          <w:color w:val="444444"/>
          <w:sz w:val="20"/>
          <w:szCs w:val="20"/>
        </w:rPr>
        <w:t xml:space="preserve">WCAG 2.1 Level AA</w:t>
      </w:r>
    </w:p>
    <w:p>
      <w:pPr>
        <w:spacing w:after="40" w:before="40"/>
      </w:pPr>
      <w:r>
        <w:rPr>
          <w:rFonts w:ascii="Arial" w:cs="Arial" w:eastAsia="Arial" w:hAnsi="Arial"/>
          <w:b/>
          <w:bCs/>
          <w:color w:val="1B3A6B"/>
          <w:sz w:val="20"/>
          <w:szCs w:val="20"/>
        </w:rPr>
        <w:t xml:space="preserve">Overall Conformance Status: </w:t>
      </w:r>
      <w:r>
        <w:rPr>
          <w:rFonts w:ascii="Arial" w:cs="Arial" w:eastAsia="Arial" w:hAnsi="Arial"/>
          <w:color w:val="444444"/>
          <w:sz w:val="20"/>
          <w:szCs w:val="20"/>
        </w:rPr>
        <w:t xml:space="preserve">Partially Conformant with WCAG 2.1 Level AA</w:t>
      </w:r>
    </w:p>
    <w:p>
      <w:pPr>
        <w:spacing w:after="40" w:before="40"/>
      </w:pPr>
      <w:r>
        <w:rPr>
          <w:rFonts w:ascii="Arial" w:cs="Arial" w:eastAsia="Arial" w:hAnsi="Arial"/>
          <w:b/>
          <w:bCs/>
          <w:color w:val="1B3A6B"/>
          <w:sz w:val="20"/>
          <w:szCs w:val="20"/>
        </w:rPr>
        <w:t xml:space="preserve">VPAT Version: </w:t>
      </w:r>
      <w:r>
        <w:rPr>
          <w:rFonts w:ascii="Arial" w:cs="Arial" w:eastAsia="Arial" w:hAnsi="Arial"/>
          <w:color w:val="444444"/>
          <w:sz w:val="20"/>
          <w:szCs w:val="20"/>
        </w:rPr>
        <w:t xml:space="preserve">2.4</w:t>
      </w:r>
    </w:p>
    <w:p>
      <w:pPr>
        <w:spacing w:after="40" w:before="40"/>
      </w:pPr>
      <w:r>
        <w:rPr>
          <w:rFonts w:ascii="Arial" w:cs="Arial" w:eastAsia="Arial" w:hAnsi="Arial"/>
          <w:b/>
          <w:bCs/>
          <w:color w:val="1B3A6B"/>
          <w:sz w:val="20"/>
          <w:szCs w:val="20"/>
        </w:rPr>
        <w:t xml:space="preserve">Report Version: </w:t>
      </w:r>
      <w:r>
        <w:rPr>
          <w:rFonts w:ascii="Arial" w:cs="Arial" w:eastAsia="Arial" w:hAnsi="Arial"/>
          <w:color w:val="444444"/>
          <w:sz w:val="20"/>
          <w:szCs w:val="20"/>
        </w:rPr>
        <w:t xml:space="preserve">1.0</w:t>
      </w:r>
    </w:p>
    <w:p>
      <w:pPr>
        <w:spacing w:after="0" w:before="80"/>
      </w:pPr>
      <w:r>
        <w:t xml:space="preserve"/>
      </w:r>
    </w:p>
    <w:p>
      <w:pPr>
        <w:spacing w:after="60" w:before="60"/>
      </w:pPr>
      <w:r>
        <w:rPr>
          <w:rFonts w:ascii="Arial" w:cs="Arial" w:eastAsia="Arial" w:hAnsi="Arial"/>
          <w:i/>
          <w:iCs/>
          <w:color w:val="444444"/>
          <w:sz w:val="20"/>
          <w:szCs w:val="20"/>
        </w:rPr>
        <w:t xml:space="preserve">This VPAT is provided in good faith based on testing conducted in May 2026. It reflects the state of the product as of the report date and will be updated with each material change to the site or on the scheduled review date, whichever comes first.</w:t>
      </w:r>
    </w:p>
    <w:sectPr>
      <w:footerReference w:type="default" r:id="rId7"/>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BBBBB" w:sz="4" w:space="4"/>
      </w:pBdr>
      <w:tabs>
        <w:tab w:val="right" w:pos="9026"/>
      </w:tabs>
      <w:spacing w:before="80"/>
    </w:pPr>
    <w:r>
      <w:rPr>
        <w:rFonts w:ascii="Arial" w:cs="Arial" w:eastAsia="Arial" w:hAnsi="Arial"/>
        <w:color w:val="888888"/>
        <w:sz w:val="16"/>
        <w:szCs w:val="16"/>
      </w:rPr>
      <w:t xml:space="preserve">defentla.com VPAT | Defense Diagnostics | May 2026</w:t>
    </w:r>
    <w:r>
      <w:rPr>
        <w:rFonts w:ascii="Arial" w:cs="Arial" w:eastAsia="Arial" w:hAnsi="Arial"/>
        <w:color w:val="888888"/>
        <w:sz w:val="16"/>
        <w:szCs w:val="16"/>
      </w:rPr>
      <w:t xml:space="preserve">	defentla.com VPAT | Defense Diagnostics | May 2026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B3A6B"/>
      <w:sz w:val="28"/>
      <w:szCs w:val="28"/>
    </w:rPr>
  </w:style>
  <w:style w:type="paragraph" w:styleId="Heading2">
    <w:name w:val="Heading 2"/>
    <w:basedOn w:val="Normal"/>
    <w:next w:val="Normal"/>
    <w:qFormat/>
    <w:pPr>
      <w:spacing w:after="80" w:before="240"/>
      <w:outlineLvl w:val="1"/>
    </w:pPr>
    <w:rPr>
      <w:rFonts w:ascii="Arial" w:cs="Arial" w:eastAsia="Arial" w:hAnsi="Arial"/>
      <w:b/>
      <w:bCs/>
      <w:color w:val="1B3A6B"/>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2026-05-12T05:10:20.998Z</dcterms:created>
  <dcterms:modified xsi:type="dcterms:W3CDTF">2026-05-12T05:10:20.998Z</dcterms:modified>
</cp:coreProperties>
</file>

<file path=docProps/custom.xml><?xml version="1.0" encoding="utf-8"?>
<Properties xmlns="http://schemas.openxmlformats.org/officeDocument/2006/custom-properties" xmlns:vt="http://schemas.openxmlformats.org/officeDocument/2006/docPropsVTypes"/>
</file>